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167F" w14:textId="2269162F" w:rsidR="006557ED" w:rsidRPr="002F1656" w:rsidRDefault="00177124" w:rsidP="006557E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F165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C88F49" wp14:editId="58D03A0B">
            <wp:simplePos x="0" y="0"/>
            <wp:positionH relativeFrom="page">
              <wp:posOffset>6407381</wp:posOffset>
            </wp:positionH>
            <wp:positionV relativeFrom="topMargin">
              <wp:posOffset>318135</wp:posOffset>
            </wp:positionV>
            <wp:extent cx="799465" cy="35941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4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5BB" w:rsidRPr="002F1656">
        <w:rPr>
          <w:rFonts w:asciiTheme="minorHAnsi" w:hAnsiTheme="minorHAnsi" w:cstheme="minorHAnsi"/>
          <w:b/>
          <w:bCs/>
          <w:sz w:val="28"/>
          <w:szCs w:val="28"/>
        </w:rPr>
        <w:t>IAPT PWP Apprenticeships</w:t>
      </w:r>
    </w:p>
    <w:p w14:paraId="2C094C33" w14:textId="77777777" w:rsidR="006557ED" w:rsidRPr="002F1656" w:rsidRDefault="006557ED" w:rsidP="006557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F561F5" w14:textId="0988B142" w:rsidR="002B29F4" w:rsidRPr="002F1656" w:rsidRDefault="002B29F4" w:rsidP="002B29F4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F1656">
        <w:rPr>
          <w:rFonts w:asciiTheme="minorHAnsi" w:hAnsiTheme="minorHAnsi" w:cstheme="minorHAnsi"/>
          <w:i/>
          <w:iCs/>
          <w:sz w:val="24"/>
          <w:szCs w:val="24"/>
        </w:rPr>
        <w:t>This guidance document is to support organisations</w:t>
      </w:r>
      <w:r w:rsidR="00DC53C5" w:rsidRPr="002F1656">
        <w:rPr>
          <w:rFonts w:asciiTheme="minorHAnsi" w:hAnsiTheme="minorHAnsi" w:cstheme="minorHAnsi"/>
          <w:i/>
          <w:iCs/>
          <w:sz w:val="24"/>
          <w:szCs w:val="24"/>
        </w:rPr>
        <w:t xml:space="preserve"> providing NHS funded IAPT services</w:t>
      </w:r>
      <w:r w:rsidRPr="002F1656">
        <w:rPr>
          <w:rFonts w:asciiTheme="minorHAnsi" w:hAnsiTheme="minorHAnsi" w:cstheme="minorHAnsi"/>
          <w:i/>
          <w:iCs/>
          <w:sz w:val="24"/>
          <w:szCs w:val="24"/>
        </w:rPr>
        <w:t xml:space="preserve"> to understand the PWP apprenticeship</w:t>
      </w:r>
      <w:r w:rsidR="007E79B3" w:rsidRPr="002F1656">
        <w:rPr>
          <w:rFonts w:asciiTheme="minorHAnsi" w:hAnsiTheme="minorHAnsi" w:cstheme="minorHAnsi"/>
          <w:i/>
          <w:iCs/>
          <w:sz w:val="24"/>
          <w:szCs w:val="24"/>
        </w:rPr>
        <w:t xml:space="preserve"> scheme</w:t>
      </w:r>
      <w:r w:rsidRPr="002F1656">
        <w:rPr>
          <w:rFonts w:asciiTheme="minorHAnsi" w:hAnsiTheme="minorHAnsi" w:cstheme="minorHAnsi"/>
          <w:i/>
          <w:iCs/>
          <w:sz w:val="24"/>
          <w:szCs w:val="24"/>
        </w:rPr>
        <w:t xml:space="preserve"> in more detail so </w:t>
      </w:r>
      <w:r w:rsidR="00DC53C5" w:rsidRPr="002F1656">
        <w:rPr>
          <w:rFonts w:asciiTheme="minorHAnsi" w:hAnsiTheme="minorHAnsi" w:cstheme="minorHAnsi"/>
          <w:i/>
          <w:iCs/>
          <w:sz w:val="24"/>
          <w:szCs w:val="24"/>
        </w:rPr>
        <w:t xml:space="preserve">that </w:t>
      </w:r>
      <w:r w:rsidRPr="002F1656">
        <w:rPr>
          <w:rFonts w:asciiTheme="minorHAnsi" w:hAnsiTheme="minorHAnsi" w:cstheme="minorHAnsi"/>
          <w:i/>
          <w:iCs/>
          <w:sz w:val="24"/>
          <w:szCs w:val="24"/>
        </w:rPr>
        <w:t xml:space="preserve">they can </w:t>
      </w:r>
      <w:r w:rsidR="00887FF4">
        <w:rPr>
          <w:rFonts w:asciiTheme="minorHAnsi" w:hAnsiTheme="minorHAnsi" w:cstheme="minorHAnsi"/>
          <w:i/>
          <w:iCs/>
          <w:sz w:val="24"/>
          <w:szCs w:val="24"/>
        </w:rPr>
        <w:t>consider</w:t>
      </w:r>
      <w:r w:rsidRPr="002F1656">
        <w:rPr>
          <w:rFonts w:asciiTheme="minorHAnsi" w:hAnsiTheme="minorHAnsi" w:cstheme="minorHAnsi"/>
          <w:i/>
          <w:iCs/>
          <w:sz w:val="24"/>
          <w:szCs w:val="24"/>
        </w:rPr>
        <w:t xml:space="preserve"> apprenticeships in their demand scoping</w:t>
      </w:r>
    </w:p>
    <w:p w14:paraId="03874E57" w14:textId="77777777" w:rsidR="006557ED" w:rsidRPr="002F1656" w:rsidRDefault="006557ED" w:rsidP="006557E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705E64" w14:textId="313C75A5" w:rsidR="004815B1" w:rsidRPr="002F1656" w:rsidRDefault="00031299" w:rsidP="00F005BB">
      <w:pPr>
        <w:jc w:val="center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A00EC" wp14:editId="655D531C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0883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F14F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85pt" to="479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4AEDD84F" w14:textId="77777777" w:rsidR="00031299" w:rsidRPr="002F1656" w:rsidRDefault="00031299" w:rsidP="00F005B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B49EE20" w14:textId="03F5BAAC" w:rsidR="00021D66" w:rsidRPr="002F1656" w:rsidRDefault="00FB758E" w:rsidP="00031299">
      <w:pPr>
        <w:jc w:val="both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sz w:val="24"/>
          <w:szCs w:val="24"/>
        </w:rPr>
        <w:t>The IAPT</w:t>
      </w:r>
      <w:r w:rsidR="00160143" w:rsidRPr="002F1656">
        <w:rPr>
          <w:rFonts w:asciiTheme="minorHAnsi" w:hAnsiTheme="minorHAnsi" w:cstheme="minorHAnsi"/>
          <w:sz w:val="24"/>
          <w:szCs w:val="24"/>
        </w:rPr>
        <w:t xml:space="preserve"> PWP apprenticeship was </w:t>
      </w:r>
      <w:r w:rsidRPr="002F1656">
        <w:rPr>
          <w:rFonts w:asciiTheme="minorHAnsi" w:hAnsiTheme="minorHAnsi" w:cstheme="minorHAnsi"/>
          <w:sz w:val="24"/>
          <w:szCs w:val="24"/>
        </w:rPr>
        <w:t xml:space="preserve">recently </w:t>
      </w:r>
      <w:r w:rsidR="00160143" w:rsidRPr="002F1656">
        <w:rPr>
          <w:rFonts w:asciiTheme="minorHAnsi" w:hAnsiTheme="minorHAnsi" w:cstheme="minorHAnsi"/>
          <w:sz w:val="24"/>
          <w:szCs w:val="24"/>
        </w:rPr>
        <w:t>approved for delivery</w:t>
      </w:r>
      <w:r w:rsidRPr="002F1656">
        <w:rPr>
          <w:rFonts w:asciiTheme="minorHAnsi" w:hAnsiTheme="minorHAnsi" w:cstheme="minorHAnsi"/>
          <w:sz w:val="24"/>
          <w:szCs w:val="24"/>
        </w:rPr>
        <w:t xml:space="preserve"> </w:t>
      </w:r>
      <w:r w:rsidR="003D4FD2" w:rsidRPr="002F1656">
        <w:rPr>
          <w:rFonts w:asciiTheme="minorHAnsi" w:hAnsiTheme="minorHAnsi" w:cstheme="minorHAnsi"/>
          <w:sz w:val="24"/>
          <w:szCs w:val="24"/>
        </w:rPr>
        <w:t xml:space="preserve">and </w:t>
      </w:r>
      <w:proofErr w:type="gramStart"/>
      <w:r w:rsidR="003D4FD2" w:rsidRPr="002F1656">
        <w:rPr>
          <w:rFonts w:asciiTheme="minorHAnsi" w:hAnsiTheme="minorHAnsi" w:cstheme="minorHAnsi"/>
          <w:sz w:val="24"/>
          <w:szCs w:val="24"/>
        </w:rPr>
        <w:t>a number of</w:t>
      </w:r>
      <w:proofErr w:type="gramEnd"/>
      <w:r w:rsidR="003D4FD2" w:rsidRPr="002F1656">
        <w:rPr>
          <w:rFonts w:asciiTheme="minorHAnsi" w:hAnsiTheme="minorHAnsi" w:cstheme="minorHAnsi"/>
          <w:sz w:val="24"/>
          <w:szCs w:val="24"/>
        </w:rPr>
        <w:t xml:space="preserve"> regional </w:t>
      </w:r>
      <w:r w:rsidR="00562720" w:rsidRPr="002F1656">
        <w:rPr>
          <w:rFonts w:asciiTheme="minorHAnsi" w:hAnsiTheme="minorHAnsi" w:cstheme="minorHAnsi"/>
          <w:sz w:val="24"/>
          <w:szCs w:val="24"/>
        </w:rPr>
        <w:t>and national p</w:t>
      </w:r>
      <w:r w:rsidR="003D4FD2" w:rsidRPr="002F1656">
        <w:rPr>
          <w:rFonts w:asciiTheme="minorHAnsi" w:hAnsiTheme="minorHAnsi" w:cstheme="minorHAnsi"/>
          <w:sz w:val="24"/>
          <w:szCs w:val="24"/>
        </w:rPr>
        <w:t xml:space="preserve">roviders </w:t>
      </w:r>
      <w:r w:rsidR="00DC53C5" w:rsidRPr="002F1656">
        <w:rPr>
          <w:rFonts w:asciiTheme="minorHAnsi" w:hAnsiTheme="minorHAnsi" w:cstheme="minorHAnsi"/>
          <w:sz w:val="24"/>
          <w:szCs w:val="24"/>
        </w:rPr>
        <w:t xml:space="preserve">have been </w:t>
      </w:r>
      <w:r w:rsidR="003D4FD2" w:rsidRPr="002F1656">
        <w:rPr>
          <w:rFonts w:asciiTheme="minorHAnsi" w:hAnsiTheme="minorHAnsi" w:cstheme="minorHAnsi"/>
          <w:sz w:val="24"/>
          <w:szCs w:val="24"/>
        </w:rPr>
        <w:t>appointed to deliver the apprenticeship</w:t>
      </w:r>
      <w:r w:rsidR="00DC53C5" w:rsidRPr="002F1656">
        <w:rPr>
          <w:rFonts w:asciiTheme="minorHAnsi" w:hAnsiTheme="minorHAnsi" w:cstheme="minorHAnsi"/>
          <w:sz w:val="24"/>
          <w:szCs w:val="24"/>
        </w:rPr>
        <w:t xml:space="preserve"> training.</w:t>
      </w:r>
    </w:p>
    <w:p w14:paraId="00F45F1D" w14:textId="77777777" w:rsidR="00021D66" w:rsidRPr="002F1656" w:rsidRDefault="00021D66" w:rsidP="000312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32FBE1" w14:textId="3C57D1FD" w:rsidR="00A544A5" w:rsidRPr="002F1656" w:rsidRDefault="00F005BB" w:rsidP="00031299">
      <w:pPr>
        <w:jc w:val="both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sz w:val="24"/>
          <w:szCs w:val="24"/>
        </w:rPr>
        <w:t xml:space="preserve">The </w:t>
      </w:r>
      <w:r w:rsidR="004815B1" w:rsidRPr="002F1656">
        <w:rPr>
          <w:rFonts w:asciiTheme="minorHAnsi" w:hAnsiTheme="minorHAnsi" w:cstheme="minorHAnsi"/>
          <w:sz w:val="24"/>
          <w:szCs w:val="24"/>
        </w:rPr>
        <w:t xml:space="preserve">main </w:t>
      </w:r>
      <w:r w:rsidRPr="002F1656">
        <w:rPr>
          <w:rFonts w:asciiTheme="minorHAnsi" w:hAnsiTheme="minorHAnsi" w:cstheme="minorHAnsi"/>
          <w:sz w:val="24"/>
          <w:szCs w:val="24"/>
        </w:rPr>
        <w:t xml:space="preserve">aim of the apprenticeship scheme is to recruit a more diverse and local workforce, enabling people without a degree but with relevant experience to train as PWPs. </w:t>
      </w:r>
      <w:r w:rsidR="00ED6ADF" w:rsidRPr="002F1656">
        <w:rPr>
          <w:rFonts w:asciiTheme="minorHAnsi" w:hAnsiTheme="minorHAnsi" w:cstheme="minorHAnsi"/>
          <w:sz w:val="24"/>
          <w:szCs w:val="24"/>
        </w:rPr>
        <w:t>Recruiting a more local workforce will in turn improve</w:t>
      </w:r>
      <w:r w:rsidRPr="002F1656">
        <w:rPr>
          <w:rFonts w:asciiTheme="minorHAnsi" w:hAnsiTheme="minorHAnsi" w:cstheme="minorHAnsi"/>
          <w:sz w:val="24"/>
          <w:szCs w:val="24"/>
        </w:rPr>
        <w:t xml:space="preserve"> staff retention.</w:t>
      </w:r>
    </w:p>
    <w:p w14:paraId="57166795" w14:textId="77777777" w:rsidR="00CD3A50" w:rsidRPr="002F1656" w:rsidRDefault="00CD3A50" w:rsidP="000312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C48D5B" w14:textId="627EF739" w:rsidR="00CD3A50" w:rsidRPr="002F1656" w:rsidRDefault="00CD3A50" w:rsidP="002B29F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F16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F368D" wp14:editId="7D3C87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3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7BA50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7EE2F37D" w14:textId="66CCED9D" w:rsidR="00F005BB" w:rsidRPr="002F1656" w:rsidRDefault="00F005BB" w:rsidP="002B29F4">
      <w:pPr>
        <w:jc w:val="center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sz w:val="28"/>
          <w:szCs w:val="28"/>
        </w:rPr>
        <w:t>Frequently Asked Questions</w:t>
      </w:r>
    </w:p>
    <w:p w14:paraId="264FCF6C" w14:textId="77777777" w:rsidR="00F005BB" w:rsidRPr="002F1656" w:rsidRDefault="00F005BB" w:rsidP="00160143">
      <w:pPr>
        <w:rPr>
          <w:rFonts w:asciiTheme="minorHAnsi" w:hAnsiTheme="minorHAnsi" w:cstheme="minorHAnsi"/>
          <w:sz w:val="36"/>
          <w:szCs w:val="36"/>
        </w:rPr>
      </w:pPr>
    </w:p>
    <w:p w14:paraId="66DA449E" w14:textId="45DA241F" w:rsidR="00160143" w:rsidRPr="002F1656" w:rsidRDefault="00E4689A" w:rsidP="00031299">
      <w:pPr>
        <w:shd w:val="clear" w:color="auto" w:fill="FFFFFF"/>
        <w:jc w:val="both"/>
        <w:rPr>
          <w:rStyle w:val="Hyperlink"/>
          <w:rFonts w:asciiTheme="minorHAnsi" w:hAnsiTheme="minorHAnsi" w:cstheme="minorHAnsi"/>
          <w:b/>
          <w:bCs/>
          <w:color w:val="000000"/>
          <w:sz w:val="24"/>
          <w:szCs w:val="24"/>
          <w:u w:val="none"/>
        </w:rPr>
      </w:pPr>
      <w:hyperlink r:id="rId6" w:history="1">
        <w:r w:rsidR="00160143" w:rsidRPr="002F1656">
          <w:rPr>
            <w:rStyle w:val="Hyperlink"/>
            <w:rFonts w:asciiTheme="minorHAnsi" w:hAnsiTheme="minorHAnsi" w:cstheme="minorHAnsi"/>
            <w:b/>
            <w:bCs/>
            <w:color w:val="000000"/>
            <w:sz w:val="24"/>
            <w:szCs w:val="24"/>
            <w:u w:val="none"/>
          </w:rPr>
          <w:t xml:space="preserve">What </w:t>
        </w:r>
        <w:r w:rsidR="008D10BE" w:rsidRPr="002F1656">
          <w:rPr>
            <w:rStyle w:val="Hyperlink"/>
            <w:rFonts w:asciiTheme="minorHAnsi" w:hAnsiTheme="minorHAnsi" w:cstheme="minorHAnsi"/>
            <w:b/>
            <w:bCs/>
            <w:color w:val="000000"/>
            <w:sz w:val="24"/>
            <w:szCs w:val="24"/>
            <w:u w:val="none"/>
          </w:rPr>
          <w:t xml:space="preserve">are </w:t>
        </w:r>
        <w:r w:rsidR="00160143" w:rsidRPr="002F1656">
          <w:rPr>
            <w:rStyle w:val="Hyperlink"/>
            <w:rFonts w:asciiTheme="minorHAnsi" w:hAnsiTheme="minorHAnsi" w:cstheme="minorHAnsi"/>
            <w:b/>
            <w:bCs/>
            <w:color w:val="000000"/>
            <w:sz w:val="24"/>
            <w:szCs w:val="24"/>
            <w:u w:val="none"/>
          </w:rPr>
          <w:t>apprenticeship</w:t>
        </w:r>
        <w:r w:rsidR="008D10BE" w:rsidRPr="002F1656">
          <w:rPr>
            <w:rStyle w:val="Hyperlink"/>
            <w:rFonts w:asciiTheme="minorHAnsi" w:hAnsiTheme="minorHAnsi" w:cstheme="minorHAnsi"/>
            <w:b/>
            <w:bCs/>
            <w:color w:val="000000"/>
            <w:sz w:val="24"/>
            <w:szCs w:val="24"/>
            <w:u w:val="none"/>
          </w:rPr>
          <w:t>s</w:t>
        </w:r>
        <w:r w:rsidR="00160143" w:rsidRPr="002F1656">
          <w:rPr>
            <w:rStyle w:val="Hyperlink"/>
            <w:rFonts w:asciiTheme="minorHAnsi" w:hAnsiTheme="minorHAnsi" w:cstheme="minorHAnsi"/>
            <w:b/>
            <w:bCs/>
            <w:color w:val="000000"/>
            <w:sz w:val="24"/>
            <w:szCs w:val="24"/>
            <w:u w:val="none"/>
          </w:rPr>
          <w:t>?</w:t>
        </w:r>
      </w:hyperlink>
    </w:p>
    <w:p w14:paraId="5CA8920D" w14:textId="77777777" w:rsidR="002F1656" w:rsidRPr="002F1656" w:rsidRDefault="002F1656" w:rsidP="00031299">
      <w:pPr>
        <w:shd w:val="clear" w:color="auto" w:fill="FFFFFF"/>
        <w:jc w:val="both"/>
        <w:rPr>
          <w:rFonts w:asciiTheme="minorHAnsi" w:hAnsiTheme="minorHAnsi" w:cstheme="minorHAnsi"/>
          <w:sz w:val="12"/>
          <w:szCs w:val="12"/>
        </w:rPr>
      </w:pPr>
    </w:p>
    <w:p w14:paraId="5E8750AB" w14:textId="24ED58AF" w:rsidR="00160143" w:rsidRDefault="00160143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Apprenticeships are work-based training programmes </w:t>
      </w:r>
      <w:r w:rsidR="008D10BE" w:rsidRPr="002F1656">
        <w:rPr>
          <w:rFonts w:asciiTheme="minorHAnsi" w:hAnsiTheme="minorHAnsi" w:cstheme="minorHAnsi"/>
          <w:color w:val="000000"/>
          <w:sz w:val="24"/>
          <w:szCs w:val="24"/>
        </w:rPr>
        <w:t>which</w:t>
      </w:r>
      <w:r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 are designed to help employers train people for specific job roles. At the same time, apprentices get a paying job with valuable training while they work towards a nationally recognised apprenticeship standard or framework.</w:t>
      </w:r>
    </w:p>
    <w:p w14:paraId="406FFAA1" w14:textId="77777777" w:rsidR="002F1656" w:rsidRPr="002F1656" w:rsidRDefault="002F1656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082E8E3C" w14:textId="49F7DFED" w:rsidR="00160143" w:rsidRPr="002F1656" w:rsidRDefault="00E4689A" w:rsidP="002F1656">
      <w:pPr>
        <w:shd w:val="clear" w:color="auto" w:fill="FFFFFF"/>
        <w:jc w:val="both"/>
        <w:rPr>
          <w:rStyle w:val="Hyperlink"/>
          <w:rFonts w:asciiTheme="minorHAnsi" w:hAnsiTheme="minorHAnsi" w:cstheme="minorHAnsi"/>
          <w:b/>
          <w:bCs/>
          <w:color w:val="000000"/>
          <w:sz w:val="24"/>
          <w:szCs w:val="24"/>
          <w:u w:val="none"/>
        </w:rPr>
      </w:pPr>
      <w:hyperlink r:id="rId7" w:history="1">
        <w:r w:rsidR="00160143" w:rsidRPr="002F1656">
          <w:rPr>
            <w:rStyle w:val="Hyperlink"/>
            <w:rFonts w:asciiTheme="minorHAnsi" w:hAnsiTheme="minorHAnsi" w:cstheme="minorHAnsi"/>
            <w:b/>
            <w:bCs/>
            <w:color w:val="000000"/>
            <w:sz w:val="24"/>
            <w:szCs w:val="24"/>
            <w:u w:val="none"/>
          </w:rPr>
          <w:t>Who can do an apprenticeship?</w:t>
        </w:r>
      </w:hyperlink>
    </w:p>
    <w:p w14:paraId="455673D2" w14:textId="77777777" w:rsidR="002F1656" w:rsidRPr="002F1656" w:rsidRDefault="002F1656" w:rsidP="002F1656">
      <w:pPr>
        <w:shd w:val="clear" w:color="auto" w:fill="FFFFFF"/>
        <w:jc w:val="both"/>
        <w:rPr>
          <w:rFonts w:asciiTheme="minorHAnsi" w:hAnsiTheme="minorHAnsi" w:cstheme="minorHAnsi"/>
          <w:sz w:val="12"/>
          <w:szCs w:val="12"/>
        </w:rPr>
      </w:pPr>
    </w:p>
    <w:p w14:paraId="7D134CAA" w14:textId="609EFBB3" w:rsidR="00160143" w:rsidRDefault="00160143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1656">
        <w:rPr>
          <w:rFonts w:asciiTheme="minorHAnsi" w:hAnsiTheme="minorHAnsi" w:cstheme="minorHAnsi"/>
          <w:color w:val="000000"/>
          <w:sz w:val="24"/>
          <w:szCs w:val="24"/>
        </w:rPr>
        <w:t>Anyone in England aged 16 years old and above, whether employed, unemployed or leaving school</w:t>
      </w:r>
      <w:r w:rsidR="008D10BE"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, can do an apprenticeship. </w:t>
      </w:r>
      <w:r w:rsidRPr="002F1656">
        <w:rPr>
          <w:rFonts w:asciiTheme="minorHAnsi" w:hAnsiTheme="minorHAnsi" w:cstheme="minorHAnsi"/>
          <w:color w:val="000000"/>
          <w:sz w:val="24"/>
          <w:szCs w:val="24"/>
        </w:rPr>
        <w:t>There is no upper age limit</w:t>
      </w:r>
      <w:r w:rsidR="00007151"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 however where there is a statutory or professional body requirement for people in a particular role to be aged 18 </w:t>
      </w:r>
      <w:r w:rsidR="009A1A64" w:rsidRPr="002F1656">
        <w:rPr>
          <w:rFonts w:asciiTheme="minorHAnsi" w:hAnsiTheme="minorHAnsi" w:cstheme="minorHAnsi"/>
          <w:color w:val="000000"/>
          <w:sz w:val="24"/>
          <w:szCs w:val="24"/>
        </w:rPr>
        <w:t>or over</w:t>
      </w:r>
      <w:r w:rsidR="00007151" w:rsidRPr="002F1656">
        <w:rPr>
          <w:rFonts w:asciiTheme="minorHAnsi" w:hAnsiTheme="minorHAnsi" w:cstheme="minorHAnsi"/>
          <w:color w:val="000000"/>
          <w:sz w:val="24"/>
          <w:szCs w:val="24"/>
        </w:rPr>
        <w:t>, a minimum age limit would apply</w:t>
      </w:r>
      <w:r w:rsidRPr="002F165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D6ADF"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 For PWP apprenticeships, people will need to demonstrate </w:t>
      </w:r>
      <w:r w:rsidR="008D10BE"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that they have gained previous </w:t>
      </w:r>
      <w:r w:rsidR="00ED6ADF" w:rsidRPr="002F1656">
        <w:rPr>
          <w:rFonts w:asciiTheme="minorHAnsi" w:hAnsiTheme="minorHAnsi" w:cstheme="minorHAnsi"/>
          <w:color w:val="000000"/>
          <w:sz w:val="24"/>
          <w:szCs w:val="24"/>
        </w:rPr>
        <w:t>relevant experience in another role.</w:t>
      </w:r>
    </w:p>
    <w:p w14:paraId="4E2AF035" w14:textId="604DFB3E" w:rsidR="00D10070" w:rsidRDefault="00D10070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AB44F5F" w14:textId="67EDD8EB" w:rsidR="002F1656" w:rsidRDefault="00144AF0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4689A">
        <w:rPr>
          <w:rFonts w:asciiTheme="minorHAnsi" w:hAnsiTheme="minorHAnsi" w:cstheme="minorHAnsi"/>
          <w:color w:val="000000"/>
          <w:sz w:val="24"/>
          <w:szCs w:val="24"/>
        </w:rPr>
        <w:t xml:space="preserve">Universities are also working with clinical service to determine the “relevant experience” </w:t>
      </w:r>
      <w:r w:rsidR="00F84CE9" w:rsidRPr="00E4689A">
        <w:rPr>
          <w:rFonts w:asciiTheme="minorHAnsi" w:hAnsiTheme="minorHAnsi" w:cstheme="minorHAnsi"/>
          <w:color w:val="000000"/>
          <w:sz w:val="24"/>
          <w:szCs w:val="24"/>
        </w:rPr>
        <w:t>that potential apprentices could use to demonstrate their eligibility for the course. T</w:t>
      </w:r>
      <w:r w:rsidRPr="00E4689A">
        <w:rPr>
          <w:rFonts w:asciiTheme="minorHAnsi" w:hAnsiTheme="minorHAnsi" w:cstheme="minorHAnsi"/>
          <w:color w:val="000000"/>
          <w:sz w:val="24"/>
          <w:szCs w:val="24"/>
        </w:rPr>
        <w:t>here will be individuals from a variety of work backgrounds who have transferable skills and would be eligible to apply</w:t>
      </w:r>
      <w:r w:rsidR="00F84CE9" w:rsidRPr="00E4689A">
        <w:rPr>
          <w:rFonts w:asciiTheme="minorHAnsi" w:hAnsiTheme="minorHAnsi" w:cstheme="minorHAnsi"/>
          <w:color w:val="000000"/>
          <w:sz w:val="24"/>
          <w:szCs w:val="24"/>
        </w:rPr>
        <w:t xml:space="preserve">, therefore it is important you work with your university </w:t>
      </w:r>
      <w:r w:rsidR="00224280" w:rsidRPr="00E4689A">
        <w:rPr>
          <w:rFonts w:asciiTheme="minorHAnsi" w:hAnsiTheme="minorHAnsi" w:cstheme="minorHAnsi"/>
          <w:color w:val="000000"/>
          <w:sz w:val="24"/>
          <w:szCs w:val="24"/>
        </w:rPr>
        <w:t xml:space="preserve">provider </w:t>
      </w:r>
      <w:r w:rsidR="00791039" w:rsidRPr="00E4689A">
        <w:rPr>
          <w:rFonts w:asciiTheme="minorHAnsi" w:hAnsiTheme="minorHAnsi" w:cstheme="minorHAnsi"/>
          <w:color w:val="000000"/>
          <w:sz w:val="24"/>
          <w:szCs w:val="24"/>
        </w:rPr>
        <w:t>during recruitment.</w:t>
      </w:r>
      <w:r w:rsidR="0079103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4B09FF0" w14:textId="77777777" w:rsidR="00224280" w:rsidRPr="002F1656" w:rsidRDefault="00224280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87110CA" w14:textId="20A60845" w:rsidR="00160143" w:rsidRPr="002F1656" w:rsidRDefault="00160143" w:rsidP="002F165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sz w:val="24"/>
          <w:szCs w:val="24"/>
        </w:rPr>
        <w:t>What is the length of time on course?</w:t>
      </w:r>
    </w:p>
    <w:p w14:paraId="1C9815C3" w14:textId="77777777" w:rsidR="002F1656" w:rsidRPr="002F1656" w:rsidRDefault="002F1656" w:rsidP="002F1656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49DF91D" w14:textId="108D0F5A" w:rsidR="00160143" w:rsidRPr="002F1656" w:rsidRDefault="00160143" w:rsidP="002F1656">
      <w:pPr>
        <w:jc w:val="both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sz w:val="24"/>
          <w:szCs w:val="24"/>
        </w:rPr>
        <w:t xml:space="preserve">The typical course duration of the PWP apprenticeship </w:t>
      </w:r>
      <w:r w:rsidR="008D10BE" w:rsidRPr="002F1656">
        <w:rPr>
          <w:rFonts w:asciiTheme="minorHAnsi" w:hAnsiTheme="minorHAnsi" w:cstheme="minorHAnsi"/>
          <w:sz w:val="24"/>
          <w:szCs w:val="24"/>
        </w:rPr>
        <w:t xml:space="preserve">course </w:t>
      </w:r>
      <w:r w:rsidRPr="002F1656">
        <w:rPr>
          <w:rFonts w:asciiTheme="minorHAnsi" w:hAnsiTheme="minorHAnsi" w:cstheme="minorHAnsi"/>
          <w:sz w:val="24"/>
          <w:szCs w:val="24"/>
        </w:rPr>
        <w:t>is 12 to 18 months.</w:t>
      </w:r>
      <w:r w:rsidR="00CE1B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6A9E4F" w14:textId="00DB771F" w:rsidR="00160143" w:rsidRPr="002F1656" w:rsidRDefault="00160143" w:rsidP="002F1656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54480F32" w14:textId="11879363" w:rsidR="00160143" w:rsidRPr="002F1656" w:rsidRDefault="00160143" w:rsidP="002F165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Can </w:t>
      </w:r>
      <w:r w:rsidR="00ED6ADF" w:rsidRPr="002F1656">
        <w:rPr>
          <w:rFonts w:asciiTheme="minorHAnsi" w:hAnsiTheme="minorHAnsi" w:cstheme="minorHAnsi"/>
          <w:b/>
          <w:bCs/>
          <w:sz w:val="24"/>
          <w:szCs w:val="24"/>
        </w:rPr>
        <w:t>services recruit part time apprentices</w:t>
      </w:r>
      <w:r w:rsidRPr="002F1656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192E03A0" w14:textId="77777777" w:rsidR="002F1656" w:rsidRPr="002F1656" w:rsidRDefault="002F1656" w:rsidP="002F1656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5185ADA" w14:textId="569F8814" w:rsidR="002B29F4" w:rsidRPr="002F1656" w:rsidRDefault="00160143" w:rsidP="002F1656">
      <w:pPr>
        <w:jc w:val="both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sz w:val="24"/>
          <w:szCs w:val="24"/>
        </w:rPr>
        <w:t>Yes</w:t>
      </w:r>
      <w:r w:rsidR="006557ED" w:rsidRPr="002F1656">
        <w:rPr>
          <w:rFonts w:asciiTheme="minorHAnsi" w:hAnsiTheme="minorHAnsi" w:cstheme="minorHAnsi"/>
          <w:sz w:val="24"/>
          <w:szCs w:val="24"/>
        </w:rPr>
        <w:t>,</w:t>
      </w:r>
      <w:r w:rsidRPr="002F1656">
        <w:rPr>
          <w:rFonts w:asciiTheme="minorHAnsi" w:hAnsiTheme="minorHAnsi" w:cstheme="minorHAnsi"/>
          <w:sz w:val="24"/>
          <w:szCs w:val="24"/>
        </w:rPr>
        <w:t xml:space="preserve"> </w:t>
      </w:r>
      <w:r w:rsidR="00ED6ADF" w:rsidRPr="002F1656">
        <w:rPr>
          <w:rFonts w:asciiTheme="minorHAnsi" w:hAnsiTheme="minorHAnsi" w:cstheme="minorHAnsi"/>
          <w:sz w:val="24"/>
          <w:szCs w:val="24"/>
        </w:rPr>
        <w:t>the apprenticeship scheme can be undertaken on a part time basis</w:t>
      </w:r>
      <w:r w:rsidR="00076530" w:rsidRPr="002F1656">
        <w:rPr>
          <w:rFonts w:asciiTheme="minorHAnsi" w:hAnsiTheme="minorHAnsi" w:cstheme="minorHAnsi"/>
          <w:sz w:val="24"/>
          <w:szCs w:val="24"/>
        </w:rPr>
        <w:t xml:space="preserve"> if this is offered by the employing service,</w:t>
      </w:r>
      <w:r w:rsidR="00ED6ADF" w:rsidRPr="002F1656">
        <w:rPr>
          <w:rFonts w:asciiTheme="minorHAnsi" w:hAnsiTheme="minorHAnsi" w:cstheme="minorHAnsi"/>
          <w:sz w:val="24"/>
          <w:szCs w:val="24"/>
        </w:rPr>
        <w:t xml:space="preserve"> however staff would be expected to work a minimum of 30 hours a week to</w:t>
      </w:r>
      <w:r w:rsidR="00076530" w:rsidRPr="002F1656">
        <w:rPr>
          <w:rFonts w:asciiTheme="minorHAnsi" w:hAnsiTheme="minorHAnsi" w:cstheme="minorHAnsi"/>
          <w:sz w:val="24"/>
          <w:szCs w:val="24"/>
        </w:rPr>
        <w:t xml:space="preserve"> be eligible for the current training schemes. </w:t>
      </w:r>
      <w:r w:rsidRPr="002F1656">
        <w:rPr>
          <w:rFonts w:asciiTheme="minorHAnsi" w:hAnsiTheme="minorHAnsi" w:cstheme="minorHAnsi"/>
          <w:sz w:val="24"/>
          <w:szCs w:val="24"/>
        </w:rPr>
        <w:t>If an apprentice works less than full</w:t>
      </w:r>
      <w:r w:rsidR="009A1A64" w:rsidRPr="002F1656">
        <w:rPr>
          <w:rFonts w:asciiTheme="minorHAnsi" w:hAnsiTheme="minorHAnsi" w:cstheme="minorHAnsi"/>
          <w:sz w:val="24"/>
          <w:szCs w:val="24"/>
        </w:rPr>
        <w:t xml:space="preserve"> </w:t>
      </w:r>
      <w:r w:rsidRPr="002F1656">
        <w:rPr>
          <w:rFonts w:asciiTheme="minorHAnsi" w:hAnsiTheme="minorHAnsi" w:cstheme="minorHAnsi"/>
          <w:sz w:val="24"/>
          <w:szCs w:val="24"/>
        </w:rPr>
        <w:t>time</w:t>
      </w:r>
      <w:r w:rsidR="00076530" w:rsidRPr="002F1656">
        <w:rPr>
          <w:rFonts w:asciiTheme="minorHAnsi" w:hAnsiTheme="minorHAnsi" w:cstheme="minorHAnsi"/>
          <w:sz w:val="24"/>
          <w:szCs w:val="24"/>
        </w:rPr>
        <w:t>,</w:t>
      </w:r>
      <w:r w:rsidRPr="002F1656">
        <w:rPr>
          <w:rFonts w:asciiTheme="minorHAnsi" w:hAnsiTheme="minorHAnsi" w:cstheme="minorHAnsi"/>
          <w:sz w:val="24"/>
          <w:szCs w:val="24"/>
        </w:rPr>
        <w:t xml:space="preserve"> the apprenticeship duration will be extended accordingly</w:t>
      </w:r>
      <w:r w:rsidR="002F1656" w:rsidRPr="002F1656">
        <w:rPr>
          <w:rFonts w:asciiTheme="minorHAnsi" w:hAnsiTheme="minorHAnsi" w:cstheme="minorHAnsi"/>
          <w:sz w:val="24"/>
          <w:szCs w:val="24"/>
        </w:rPr>
        <w:t>. F</w:t>
      </w:r>
      <w:r w:rsidRPr="002F1656">
        <w:rPr>
          <w:rFonts w:asciiTheme="minorHAnsi" w:hAnsiTheme="minorHAnsi" w:cstheme="minorHAnsi"/>
          <w:sz w:val="24"/>
          <w:szCs w:val="24"/>
        </w:rPr>
        <w:t>or example</w:t>
      </w:r>
      <w:r w:rsidR="002F1656" w:rsidRPr="002F1656">
        <w:rPr>
          <w:rFonts w:asciiTheme="minorHAnsi" w:hAnsiTheme="minorHAnsi" w:cstheme="minorHAnsi"/>
          <w:sz w:val="24"/>
          <w:szCs w:val="24"/>
        </w:rPr>
        <w:t xml:space="preserve">, </w:t>
      </w:r>
      <w:r w:rsidRPr="002F1656">
        <w:rPr>
          <w:rFonts w:asciiTheme="minorHAnsi" w:hAnsiTheme="minorHAnsi" w:cstheme="minorHAnsi"/>
          <w:sz w:val="24"/>
          <w:szCs w:val="24"/>
        </w:rPr>
        <w:t>an apprentice who works 4 days will take 65 weeks</w:t>
      </w:r>
      <w:r w:rsidR="002F1656" w:rsidRPr="002F1656">
        <w:rPr>
          <w:rFonts w:asciiTheme="minorHAnsi" w:hAnsiTheme="minorHAnsi" w:cstheme="minorHAnsi"/>
          <w:sz w:val="24"/>
          <w:szCs w:val="24"/>
        </w:rPr>
        <w:t xml:space="preserve"> rather than</w:t>
      </w:r>
      <w:r w:rsidRPr="002F1656">
        <w:rPr>
          <w:rFonts w:asciiTheme="minorHAnsi" w:hAnsiTheme="minorHAnsi" w:cstheme="minorHAnsi"/>
          <w:sz w:val="24"/>
          <w:szCs w:val="24"/>
        </w:rPr>
        <w:t xml:space="preserve"> 5</w:t>
      </w:r>
      <w:r w:rsidR="009A1A64" w:rsidRPr="002F1656">
        <w:rPr>
          <w:rFonts w:asciiTheme="minorHAnsi" w:hAnsiTheme="minorHAnsi" w:cstheme="minorHAnsi"/>
          <w:sz w:val="24"/>
          <w:szCs w:val="24"/>
        </w:rPr>
        <w:t>2</w:t>
      </w:r>
      <w:r w:rsidRPr="002F1656">
        <w:rPr>
          <w:rFonts w:asciiTheme="minorHAnsi" w:hAnsiTheme="minorHAnsi" w:cstheme="minorHAnsi"/>
          <w:sz w:val="24"/>
          <w:szCs w:val="24"/>
        </w:rPr>
        <w:t xml:space="preserve"> to complete the apprenticeship. </w:t>
      </w:r>
    </w:p>
    <w:p w14:paraId="1CA12910" w14:textId="0832FDB4" w:rsidR="007C5ACA" w:rsidRDefault="00160143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2F1656">
        <w:rPr>
          <w:rFonts w:asciiTheme="minorHAnsi" w:hAnsiTheme="minorHAnsi" w:cstheme="minorHAnsi"/>
          <w:b/>
          <w:bCs/>
          <w:sz w:val="36"/>
          <w:szCs w:val="36"/>
        </w:rPr>
        <w:t> </w:t>
      </w:r>
    </w:p>
    <w:p w14:paraId="2E494876" w14:textId="77777777" w:rsidR="007C5ACA" w:rsidRDefault="007C5ACA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5B8C881" w14:textId="1D3FA929" w:rsidR="00160143" w:rsidRPr="002F1656" w:rsidRDefault="00160143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What qualification will the learners receive on completion? </w:t>
      </w:r>
    </w:p>
    <w:p w14:paraId="6522A69B" w14:textId="77777777" w:rsidR="002F1656" w:rsidRPr="002F1656" w:rsidRDefault="002F1656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</w:p>
    <w:p w14:paraId="6CF0A912" w14:textId="30EC381C" w:rsidR="00160143" w:rsidRDefault="00160143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r w:rsidR="002F1656"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successful </w:t>
      </w:r>
      <w:r w:rsidRPr="002F1656">
        <w:rPr>
          <w:rFonts w:asciiTheme="minorHAnsi" w:hAnsiTheme="minorHAnsi" w:cstheme="minorHAnsi"/>
          <w:color w:val="000000"/>
          <w:sz w:val="24"/>
          <w:szCs w:val="24"/>
        </w:rPr>
        <w:t>completion</w:t>
      </w:r>
      <w:r w:rsidR="00076530"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 of training</w:t>
      </w:r>
      <w:r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 the apprentice will attain a level 6 Certificate in Psychological Wellbeing Practice. The course is accredited by</w:t>
      </w:r>
      <w:r w:rsidR="00076530"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F1656"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076530" w:rsidRPr="002F1656">
        <w:rPr>
          <w:rFonts w:asciiTheme="minorHAnsi" w:hAnsiTheme="minorHAnsi" w:cstheme="minorHAnsi"/>
          <w:color w:val="000000"/>
          <w:sz w:val="24"/>
          <w:szCs w:val="24"/>
        </w:rPr>
        <w:t>British Psychological Society (</w:t>
      </w:r>
      <w:r w:rsidRPr="002F1656">
        <w:rPr>
          <w:rFonts w:asciiTheme="minorHAnsi" w:hAnsiTheme="minorHAnsi" w:cstheme="minorHAnsi"/>
          <w:color w:val="000000"/>
          <w:sz w:val="24"/>
          <w:szCs w:val="24"/>
        </w:rPr>
        <w:t>BPS</w:t>
      </w:r>
      <w:r w:rsidR="00076530" w:rsidRPr="002F1656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 and aligned to existing training routes. The apprenticeship is </w:t>
      </w:r>
      <w:r w:rsidR="003D4FD2" w:rsidRPr="002F1656">
        <w:rPr>
          <w:rFonts w:asciiTheme="minorHAnsi" w:hAnsiTheme="minorHAnsi" w:cstheme="minorHAnsi"/>
          <w:color w:val="000000"/>
          <w:sz w:val="24"/>
          <w:szCs w:val="24"/>
        </w:rPr>
        <w:t>also consistent</w:t>
      </w:r>
      <w:r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 with the national frameworks for governance and the IAPT manual. </w:t>
      </w:r>
    </w:p>
    <w:p w14:paraId="71314D88" w14:textId="77777777" w:rsidR="00F87A2C" w:rsidRDefault="00F87A2C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87593" w14:textId="4A3CF7B0" w:rsidR="00B665EA" w:rsidRPr="00B665EA" w:rsidRDefault="00B665EA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665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What band is a PWP apprentice role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?</w:t>
      </w:r>
    </w:p>
    <w:p w14:paraId="71DBFD9E" w14:textId="1F9D81A0" w:rsidR="00B665EA" w:rsidRDefault="00B665EA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88287E6" w14:textId="0B0DC00D" w:rsidR="00B665EA" w:rsidRDefault="00B665EA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PWP apprentices are band 4, moving to band 5 on successful completion of training.</w:t>
      </w:r>
    </w:p>
    <w:p w14:paraId="298D7410" w14:textId="77777777" w:rsidR="00B665EA" w:rsidRPr="002F1656" w:rsidRDefault="00B665EA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3A1CDE" w14:textId="2D4F2FAF" w:rsidR="00160143" w:rsidRPr="002F1656" w:rsidRDefault="00160143" w:rsidP="000312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color w:val="000000"/>
          <w:sz w:val="24"/>
          <w:szCs w:val="24"/>
        </w:rPr>
        <w:t>How is the PWP apprenticeship different to the traditional training route?</w:t>
      </w:r>
    </w:p>
    <w:p w14:paraId="675B1C07" w14:textId="77777777" w:rsidR="002F1656" w:rsidRPr="002F1656" w:rsidRDefault="002F1656" w:rsidP="000312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</w:p>
    <w:p w14:paraId="2C722181" w14:textId="08130801" w:rsidR="00160143" w:rsidRPr="002F1656" w:rsidRDefault="00160143" w:rsidP="000312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PWP apprenticeship is a level 6 (undergraduate) apprenticeship</w:t>
      </w:r>
      <w:r w:rsidR="00401530">
        <w:rPr>
          <w:rFonts w:asciiTheme="minorHAnsi" w:hAnsiTheme="minorHAnsi" w:cstheme="minorHAnsi"/>
          <w:color w:val="000000"/>
          <w:sz w:val="24"/>
          <w:szCs w:val="24"/>
          <w:lang w:val="en-US"/>
        </w:rPr>
        <w:t>,</w:t>
      </w:r>
      <w:r w:rsidR="00F9648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F9648E" w:rsidRPr="00E4689A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learners qualify with the same qualifications as a traditional PWP.</w:t>
      </w:r>
      <w:r w:rsidR="00F9648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The apprenticeship p</w:t>
      </w: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rovides an alternative </w:t>
      </w:r>
      <w:r w:rsidR="00076530"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route into</w:t>
      </w: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training to attract diverse entrants and create a wider talent pool</w:t>
      </w:r>
      <w:r w:rsidR="00F9648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. </w:t>
      </w: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2F1656">
        <w:rPr>
          <w:rFonts w:asciiTheme="minorHAnsi" w:hAnsiTheme="minorHAnsi" w:cstheme="minorHAnsi"/>
          <w:color w:val="000000"/>
          <w:sz w:val="24"/>
          <w:szCs w:val="24"/>
        </w:rPr>
        <w:t xml:space="preserve">The apprenticeship is employer led and will </w:t>
      </w:r>
      <w:r w:rsidR="00747425"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ensure</w:t>
      </w: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 close collaboration between employers and </w:t>
      </w:r>
      <w:r w:rsidR="002F1656"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Higher Education Institutions (</w:t>
      </w: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HEI</w:t>
      </w:r>
      <w:r w:rsidR="002F1656"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s)</w:t>
      </w: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076530"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to</w:t>
      </w: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respond to local needs.</w:t>
      </w:r>
      <w:r w:rsidR="009A1A64"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076530"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In addition, t</w:t>
      </w: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he apprenticeship </w:t>
      </w:r>
      <w:proofErr w:type="gramStart"/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opens up</w:t>
      </w:r>
      <w:proofErr w:type="gramEnd"/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an additional funding route for PWP training by using </w:t>
      </w:r>
      <w:r w:rsidR="007B0ED8"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employers</w:t>
      </w:r>
      <w:r w:rsidR="002F1656"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>’</w:t>
      </w:r>
      <w:r w:rsidRPr="002F16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apprenticeship levy.</w:t>
      </w:r>
    </w:p>
    <w:p w14:paraId="0C22A1E3" w14:textId="27A93338" w:rsidR="002B29F4" w:rsidRPr="000752D0" w:rsidRDefault="002B29F4" w:rsidP="000312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6"/>
          <w:szCs w:val="36"/>
          <w:lang w:val="en-US"/>
        </w:rPr>
      </w:pPr>
    </w:p>
    <w:p w14:paraId="211EB633" w14:textId="166F007E" w:rsidR="002B29F4" w:rsidRPr="002F1656" w:rsidRDefault="002B29F4" w:rsidP="000312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2F1656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Which universities offer the PWP apprenticeship</w:t>
      </w:r>
      <w:r w:rsidR="00745E21" w:rsidRPr="002F1656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and when will the courses start? </w:t>
      </w:r>
    </w:p>
    <w:p w14:paraId="0244EB65" w14:textId="290725A9" w:rsidR="005A6B68" w:rsidRPr="002F1656" w:rsidRDefault="005A6B68" w:rsidP="000312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577"/>
      </w:tblGrid>
      <w:tr w:rsidR="005A6B68" w:rsidRPr="002F1656" w14:paraId="443D63C4" w14:textId="77777777" w:rsidTr="003676F1">
        <w:trPr>
          <w:trHeight w:val="801"/>
        </w:trPr>
        <w:tc>
          <w:tcPr>
            <w:tcW w:w="2263" w:type="dxa"/>
            <w:shd w:val="clear" w:color="auto" w:fill="D0CECE" w:themeFill="background2" w:themeFillShade="E6"/>
            <w:hideMark/>
          </w:tcPr>
          <w:p w14:paraId="37D1E4A3" w14:textId="39ABBAFE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</w:rPr>
              <w:t>Universit</w:t>
            </w:r>
            <w:r w:rsidR="00DB4CE7" w:rsidRPr="002F1656">
              <w:rPr>
                <w:rFonts w:asciiTheme="minorHAnsi" w:hAnsiTheme="minorHAnsi" w:cstheme="minorHAnsi"/>
                <w:b/>
                <w:bCs/>
              </w:rPr>
              <w:t>y</w:t>
            </w:r>
          </w:p>
        </w:tc>
        <w:tc>
          <w:tcPr>
            <w:tcW w:w="2552" w:type="dxa"/>
            <w:shd w:val="clear" w:color="auto" w:fill="D0CECE" w:themeFill="background2" w:themeFillShade="E6"/>
            <w:hideMark/>
          </w:tcPr>
          <w:p w14:paraId="1423C058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  <w:color w:val="000000"/>
              </w:rPr>
              <w:t>Training Locations /Region  </w:t>
            </w:r>
          </w:p>
        </w:tc>
        <w:tc>
          <w:tcPr>
            <w:tcW w:w="2268" w:type="dxa"/>
            <w:shd w:val="clear" w:color="auto" w:fill="D0CECE" w:themeFill="background2" w:themeFillShade="E6"/>
            <w:hideMark/>
          </w:tcPr>
          <w:p w14:paraId="3A96B3A1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Able to start delivery from </w:t>
            </w:r>
          </w:p>
        </w:tc>
        <w:tc>
          <w:tcPr>
            <w:tcW w:w="2577" w:type="dxa"/>
            <w:shd w:val="clear" w:color="auto" w:fill="D0CECE" w:themeFill="background2" w:themeFillShade="E6"/>
            <w:hideMark/>
          </w:tcPr>
          <w:p w14:paraId="42760227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Delivery Methods </w:t>
            </w:r>
          </w:p>
        </w:tc>
      </w:tr>
      <w:tr w:rsidR="005A6B68" w:rsidRPr="002F1656" w14:paraId="3B1C3F28" w14:textId="77777777" w:rsidTr="003676F1">
        <w:trPr>
          <w:trHeight w:val="544"/>
        </w:trPr>
        <w:tc>
          <w:tcPr>
            <w:tcW w:w="2263" w:type="dxa"/>
            <w:hideMark/>
          </w:tcPr>
          <w:p w14:paraId="6F77B48F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</w:rPr>
              <w:t>Liverpool John Moore</w:t>
            </w:r>
          </w:p>
        </w:tc>
        <w:tc>
          <w:tcPr>
            <w:tcW w:w="2552" w:type="dxa"/>
            <w:hideMark/>
          </w:tcPr>
          <w:p w14:paraId="44CC5204" w14:textId="4F32496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North West</w:t>
            </w:r>
          </w:p>
        </w:tc>
        <w:tc>
          <w:tcPr>
            <w:tcW w:w="2268" w:type="dxa"/>
            <w:hideMark/>
          </w:tcPr>
          <w:p w14:paraId="6D73301A" w14:textId="212FF413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1</w:t>
            </w:r>
            <w:r w:rsidRPr="002F165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F1656">
              <w:rPr>
                <w:rFonts w:asciiTheme="minorHAnsi" w:hAnsiTheme="minorHAnsi" w:cstheme="minorHAnsi"/>
              </w:rPr>
              <w:t xml:space="preserve"> Oct</w:t>
            </w:r>
            <w:r w:rsidR="00400359" w:rsidRPr="002F1656">
              <w:rPr>
                <w:rFonts w:asciiTheme="minorHAnsi" w:hAnsiTheme="minorHAnsi" w:cstheme="minorHAnsi"/>
              </w:rPr>
              <w:t>ober</w:t>
            </w:r>
            <w:r w:rsidRPr="002F1656">
              <w:rPr>
                <w:rFonts w:asciiTheme="minorHAnsi" w:hAnsiTheme="minorHAnsi" w:cstheme="minorHAnsi"/>
              </w:rPr>
              <w:t xml:space="preserve"> 2021</w:t>
            </w:r>
          </w:p>
        </w:tc>
        <w:tc>
          <w:tcPr>
            <w:tcW w:w="2577" w:type="dxa"/>
            <w:hideMark/>
          </w:tcPr>
          <w:p w14:paraId="77094EAD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 xml:space="preserve">Blended </w:t>
            </w:r>
          </w:p>
        </w:tc>
      </w:tr>
      <w:tr w:rsidR="005A6B68" w:rsidRPr="002F1656" w14:paraId="46A4A0D4" w14:textId="77777777" w:rsidTr="003676F1">
        <w:trPr>
          <w:trHeight w:val="528"/>
        </w:trPr>
        <w:tc>
          <w:tcPr>
            <w:tcW w:w="2263" w:type="dxa"/>
            <w:hideMark/>
          </w:tcPr>
          <w:p w14:paraId="45AFA232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</w:rPr>
              <w:t xml:space="preserve">London South Bank </w:t>
            </w:r>
          </w:p>
        </w:tc>
        <w:tc>
          <w:tcPr>
            <w:tcW w:w="2552" w:type="dxa"/>
            <w:hideMark/>
          </w:tcPr>
          <w:p w14:paraId="0C21D868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 xml:space="preserve">National </w:t>
            </w:r>
          </w:p>
        </w:tc>
        <w:tc>
          <w:tcPr>
            <w:tcW w:w="2268" w:type="dxa"/>
            <w:hideMark/>
          </w:tcPr>
          <w:p w14:paraId="0977B426" w14:textId="57589A04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1</w:t>
            </w:r>
            <w:r w:rsidRPr="002F165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F1656">
              <w:rPr>
                <w:rFonts w:asciiTheme="minorHAnsi" w:hAnsiTheme="minorHAnsi" w:cstheme="minorHAnsi"/>
              </w:rPr>
              <w:t xml:space="preserve"> Sep</w:t>
            </w:r>
            <w:r w:rsidR="00400359" w:rsidRPr="002F1656">
              <w:rPr>
                <w:rFonts w:asciiTheme="minorHAnsi" w:hAnsiTheme="minorHAnsi" w:cstheme="minorHAnsi"/>
              </w:rPr>
              <w:t>tember</w:t>
            </w:r>
            <w:r w:rsidRPr="002F1656">
              <w:rPr>
                <w:rFonts w:asciiTheme="minorHAnsi" w:hAnsiTheme="minorHAnsi" w:cstheme="minorHAnsi"/>
              </w:rPr>
              <w:t xml:space="preserve"> 2021</w:t>
            </w:r>
          </w:p>
        </w:tc>
        <w:tc>
          <w:tcPr>
            <w:tcW w:w="2577" w:type="dxa"/>
            <w:hideMark/>
          </w:tcPr>
          <w:p w14:paraId="5046C948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 xml:space="preserve">Blended </w:t>
            </w:r>
          </w:p>
        </w:tc>
      </w:tr>
      <w:tr w:rsidR="005A6B68" w:rsidRPr="002F1656" w14:paraId="59B86AFB" w14:textId="77777777" w:rsidTr="003676F1">
        <w:trPr>
          <w:trHeight w:val="544"/>
        </w:trPr>
        <w:tc>
          <w:tcPr>
            <w:tcW w:w="2263" w:type="dxa"/>
            <w:hideMark/>
          </w:tcPr>
          <w:p w14:paraId="34BABE68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</w:rPr>
              <w:t xml:space="preserve">Solent University </w:t>
            </w:r>
          </w:p>
        </w:tc>
        <w:tc>
          <w:tcPr>
            <w:tcW w:w="2552" w:type="dxa"/>
            <w:hideMark/>
          </w:tcPr>
          <w:p w14:paraId="41A52CBC" w14:textId="7D11D2D2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 xml:space="preserve">National  </w:t>
            </w:r>
          </w:p>
        </w:tc>
        <w:tc>
          <w:tcPr>
            <w:tcW w:w="2268" w:type="dxa"/>
            <w:hideMark/>
          </w:tcPr>
          <w:p w14:paraId="78B21025" w14:textId="7786131D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2021/22</w:t>
            </w:r>
            <w:r w:rsidR="00400359" w:rsidRPr="002F1656">
              <w:rPr>
                <w:rFonts w:asciiTheme="minorHAnsi" w:hAnsiTheme="minorHAnsi" w:cstheme="minorHAnsi"/>
              </w:rPr>
              <w:t xml:space="preserve"> – exact dates to be confirmed</w:t>
            </w:r>
          </w:p>
        </w:tc>
        <w:tc>
          <w:tcPr>
            <w:tcW w:w="2577" w:type="dxa"/>
            <w:hideMark/>
          </w:tcPr>
          <w:p w14:paraId="62225233" w14:textId="77777777" w:rsidR="005A6B68" w:rsidRPr="002F1656" w:rsidRDefault="005A6B68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 xml:space="preserve">Online / blended </w:t>
            </w:r>
          </w:p>
        </w:tc>
      </w:tr>
      <w:tr w:rsidR="00AA7013" w:rsidRPr="002F1656" w14:paraId="05E9E1EB" w14:textId="61F4C92B" w:rsidTr="003676F1">
        <w:trPr>
          <w:trHeight w:val="448"/>
        </w:trPr>
        <w:tc>
          <w:tcPr>
            <w:tcW w:w="2263" w:type="dxa"/>
            <w:hideMark/>
          </w:tcPr>
          <w:p w14:paraId="4EA25E2F" w14:textId="77777777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</w:rPr>
              <w:t xml:space="preserve">Staffordshire </w:t>
            </w:r>
          </w:p>
          <w:p w14:paraId="12ED1413" w14:textId="493D458F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06D66AD7" w14:textId="05A51386" w:rsidR="00AA7013" w:rsidRPr="002F1656" w:rsidRDefault="00AA7013" w:rsidP="00DB4CE7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F1656">
              <w:rPr>
                <w:rFonts w:asciiTheme="minorHAnsi" w:hAnsiTheme="minorHAnsi" w:cstheme="minorHAnsi"/>
              </w:rPr>
              <w:t xml:space="preserve">North West and Midlands </w:t>
            </w:r>
          </w:p>
        </w:tc>
        <w:tc>
          <w:tcPr>
            <w:tcW w:w="2268" w:type="dxa"/>
          </w:tcPr>
          <w:p w14:paraId="6ACD6304" w14:textId="7FBDDBCC" w:rsidR="00AA7013" w:rsidRPr="002F1656" w:rsidRDefault="00AA7013" w:rsidP="00DB4CE7">
            <w:pPr>
              <w:spacing w:before="12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F1656">
              <w:rPr>
                <w:rFonts w:asciiTheme="minorHAnsi" w:hAnsiTheme="minorHAnsi" w:cstheme="minorHAnsi"/>
              </w:rPr>
              <w:t>1</w:t>
            </w:r>
            <w:r w:rsidRPr="002F165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F1656">
              <w:rPr>
                <w:rFonts w:asciiTheme="minorHAnsi" w:hAnsiTheme="minorHAnsi" w:cstheme="minorHAnsi"/>
              </w:rPr>
              <w:t xml:space="preserve"> Sep</w:t>
            </w:r>
            <w:r w:rsidR="00400359" w:rsidRPr="002F1656">
              <w:rPr>
                <w:rFonts w:asciiTheme="minorHAnsi" w:hAnsiTheme="minorHAnsi" w:cstheme="minorHAnsi"/>
              </w:rPr>
              <w:t>tember</w:t>
            </w:r>
            <w:r w:rsidRPr="002F1656">
              <w:rPr>
                <w:rFonts w:asciiTheme="minorHAnsi" w:hAnsiTheme="minorHAnsi" w:cstheme="minorHAnsi"/>
              </w:rPr>
              <w:t xml:space="preserve"> 2</w:t>
            </w:r>
            <w:r w:rsidR="00054FF6" w:rsidRPr="002F1656">
              <w:rPr>
                <w:rFonts w:asciiTheme="minorHAnsi" w:hAnsiTheme="minorHAnsi" w:cstheme="minorHAnsi"/>
              </w:rPr>
              <w:t>021</w:t>
            </w:r>
          </w:p>
        </w:tc>
        <w:tc>
          <w:tcPr>
            <w:tcW w:w="2577" w:type="dxa"/>
          </w:tcPr>
          <w:p w14:paraId="645C7109" w14:textId="7D3F0334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Blended</w:t>
            </w:r>
          </w:p>
        </w:tc>
      </w:tr>
      <w:tr w:rsidR="00AA7013" w:rsidRPr="002F1656" w14:paraId="03CF7AE3" w14:textId="77777777" w:rsidTr="003676F1">
        <w:trPr>
          <w:trHeight w:val="544"/>
        </w:trPr>
        <w:tc>
          <w:tcPr>
            <w:tcW w:w="2263" w:type="dxa"/>
            <w:hideMark/>
          </w:tcPr>
          <w:p w14:paraId="6C606631" w14:textId="77777777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</w:rPr>
              <w:t xml:space="preserve">Teesside University </w:t>
            </w:r>
          </w:p>
          <w:p w14:paraId="788CBACD" w14:textId="5105F3A2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hideMark/>
          </w:tcPr>
          <w:p w14:paraId="5A572E02" w14:textId="77777777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 xml:space="preserve">National </w:t>
            </w:r>
          </w:p>
        </w:tc>
        <w:tc>
          <w:tcPr>
            <w:tcW w:w="2268" w:type="dxa"/>
            <w:hideMark/>
          </w:tcPr>
          <w:p w14:paraId="5D8CE81A" w14:textId="40D5C3FB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1</w:t>
            </w:r>
            <w:r w:rsidRPr="002F165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F1656">
              <w:rPr>
                <w:rFonts w:asciiTheme="minorHAnsi" w:hAnsiTheme="minorHAnsi" w:cstheme="minorHAnsi"/>
              </w:rPr>
              <w:t xml:space="preserve"> Jan</w:t>
            </w:r>
            <w:r w:rsidR="00400359" w:rsidRPr="002F1656">
              <w:rPr>
                <w:rFonts w:asciiTheme="minorHAnsi" w:hAnsiTheme="minorHAnsi" w:cstheme="minorHAnsi"/>
              </w:rPr>
              <w:t>uary</w:t>
            </w:r>
            <w:r w:rsidRPr="002F1656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2577" w:type="dxa"/>
            <w:hideMark/>
          </w:tcPr>
          <w:p w14:paraId="01B12470" w14:textId="77777777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Online</w:t>
            </w:r>
          </w:p>
        </w:tc>
      </w:tr>
      <w:tr w:rsidR="00AA7013" w:rsidRPr="002F1656" w14:paraId="482943D7" w14:textId="77777777" w:rsidTr="003676F1">
        <w:trPr>
          <w:trHeight w:val="576"/>
        </w:trPr>
        <w:tc>
          <w:tcPr>
            <w:tcW w:w="2263" w:type="dxa"/>
            <w:hideMark/>
          </w:tcPr>
          <w:p w14:paraId="49AA11A9" w14:textId="77777777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</w:rPr>
              <w:t xml:space="preserve">University of Essex </w:t>
            </w:r>
          </w:p>
        </w:tc>
        <w:tc>
          <w:tcPr>
            <w:tcW w:w="2552" w:type="dxa"/>
            <w:hideMark/>
          </w:tcPr>
          <w:p w14:paraId="133AB7FD" w14:textId="77777777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London and East of England</w:t>
            </w:r>
          </w:p>
          <w:p w14:paraId="20421571" w14:textId="1C44B75A" w:rsidR="007B0ED8" w:rsidRPr="002F1656" w:rsidRDefault="007B0ED8" w:rsidP="00DB4CE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hideMark/>
          </w:tcPr>
          <w:p w14:paraId="223D46FA" w14:textId="3D270E0D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1</w:t>
            </w:r>
            <w:r w:rsidRPr="002F165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F1656">
              <w:rPr>
                <w:rFonts w:asciiTheme="minorHAnsi" w:hAnsiTheme="minorHAnsi" w:cstheme="minorHAnsi"/>
              </w:rPr>
              <w:t xml:space="preserve"> Oct</w:t>
            </w:r>
            <w:r w:rsidR="00400359" w:rsidRPr="002F1656">
              <w:rPr>
                <w:rFonts w:asciiTheme="minorHAnsi" w:hAnsiTheme="minorHAnsi" w:cstheme="minorHAnsi"/>
              </w:rPr>
              <w:t>ober</w:t>
            </w:r>
            <w:r w:rsidRPr="002F1656">
              <w:rPr>
                <w:rFonts w:asciiTheme="minorHAnsi" w:hAnsiTheme="minorHAnsi" w:cstheme="minorHAnsi"/>
              </w:rPr>
              <w:t xml:space="preserve"> 2021</w:t>
            </w:r>
          </w:p>
        </w:tc>
        <w:tc>
          <w:tcPr>
            <w:tcW w:w="2577" w:type="dxa"/>
            <w:hideMark/>
          </w:tcPr>
          <w:p w14:paraId="23D89DC5" w14:textId="77777777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 xml:space="preserve">Blended </w:t>
            </w:r>
          </w:p>
        </w:tc>
      </w:tr>
      <w:tr w:rsidR="00AA7013" w:rsidRPr="002F1656" w14:paraId="594D0AD5" w14:textId="77777777" w:rsidTr="003676F1">
        <w:trPr>
          <w:trHeight w:val="1103"/>
        </w:trPr>
        <w:tc>
          <w:tcPr>
            <w:tcW w:w="2263" w:type="dxa"/>
            <w:hideMark/>
          </w:tcPr>
          <w:p w14:paraId="721C6E90" w14:textId="77777777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F1656">
              <w:rPr>
                <w:rFonts w:asciiTheme="minorHAnsi" w:hAnsiTheme="minorHAnsi" w:cstheme="minorHAnsi"/>
                <w:b/>
                <w:bCs/>
              </w:rPr>
              <w:t>University of Exeter</w:t>
            </w:r>
          </w:p>
        </w:tc>
        <w:tc>
          <w:tcPr>
            <w:tcW w:w="2552" w:type="dxa"/>
            <w:hideMark/>
          </w:tcPr>
          <w:p w14:paraId="118CB768" w14:textId="2FD1BCCC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 xml:space="preserve">National </w:t>
            </w:r>
          </w:p>
        </w:tc>
        <w:tc>
          <w:tcPr>
            <w:tcW w:w="2268" w:type="dxa"/>
            <w:hideMark/>
          </w:tcPr>
          <w:p w14:paraId="5E64DCD5" w14:textId="0DF8E656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2F1656">
              <w:rPr>
                <w:rFonts w:asciiTheme="minorHAnsi" w:hAnsiTheme="minorHAnsi" w:cstheme="minorHAnsi"/>
              </w:rPr>
              <w:t>1</w:t>
            </w:r>
            <w:r w:rsidRPr="002F165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F1656">
              <w:rPr>
                <w:rFonts w:asciiTheme="minorHAnsi" w:hAnsiTheme="minorHAnsi" w:cstheme="minorHAnsi"/>
              </w:rPr>
              <w:t xml:space="preserve"> April 2</w:t>
            </w:r>
            <w:r w:rsidR="00054FF6" w:rsidRPr="002F1656">
              <w:rPr>
                <w:rFonts w:asciiTheme="minorHAnsi" w:hAnsiTheme="minorHAnsi" w:cstheme="minorHAnsi"/>
              </w:rPr>
              <w:t>021</w:t>
            </w:r>
          </w:p>
        </w:tc>
        <w:tc>
          <w:tcPr>
            <w:tcW w:w="2577" w:type="dxa"/>
            <w:hideMark/>
          </w:tcPr>
          <w:p w14:paraId="5E78BF3A" w14:textId="7AEE9157" w:rsidR="00AA7013" w:rsidRPr="002F1656" w:rsidRDefault="00AA7013" w:rsidP="00DB4CE7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2F1656">
              <w:rPr>
                <w:rFonts w:asciiTheme="minorHAnsi" w:hAnsiTheme="minorHAnsi" w:cstheme="minorHAnsi"/>
                <w:color w:val="000000"/>
              </w:rPr>
              <w:t>25 days face to face + 20 days university directed learning</w:t>
            </w:r>
          </w:p>
        </w:tc>
      </w:tr>
    </w:tbl>
    <w:p w14:paraId="6F59E6BC" w14:textId="66F59B7A" w:rsidR="00076530" w:rsidRPr="002F1656" w:rsidRDefault="00076530" w:rsidP="000312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775A87C9" w14:textId="426ED59E" w:rsidR="00076530" w:rsidRPr="002F1656" w:rsidRDefault="00400359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sz w:val="24"/>
          <w:szCs w:val="24"/>
        </w:rPr>
        <w:t>Please note that blended delivery will include virtual face to face sessions. Further details about training models are available from the PWP apprenticeships leads – contact details below.</w:t>
      </w:r>
    </w:p>
    <w:p w14:paraId="3ABFAE94" w14:textId="77777777" w:rsidR="002F1656" w:rsidRPr="000752D0" w:rsidRDefault="002F1656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623D8A77" w14:textId="669933DD" w:rsidR="002B29F4" w:rsidRPr="002F1656" w:rsidRDefault="009D7E0A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Will </w:t>
      </w:r>
      <w:r w:rsidR="00400359"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PWP </w:t>
      </w:r>
      <w:r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apprenticeship graduates </w:t>
      </w:r>
      <w:r w:rsidR="00400359" w:rsidRPr="002F1656">
        <w:rPr>
          <w:rFonts w:asciiTheme="minorHAnsi" w:hAnsiTheme="minorHAnsi" w:cstheme="minorHAnsi"/>
          <w:b/>
          <w:bCs/>
          <w:sz w:val="24"/>
          <w:szCs w:val="24"/>
        </w:rPr>
        <w:t>be eligible to apply for</w:t>
      </w:r>
      <w:r w:rsidR="008D41F9"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00359" w:rsidRPr="002F1656">
        <w:rPr>
          <w:rFonts w:asciiTheme="minorHAnsi" w:hAnsiTheme="minorHAnsi" w:cstheme="minorHAnsi"/>
          <w:b/>
          <w:bCs/>
          <w:sz w:val="24"/>
          <w:szCs w:val="24"/>
        </w:rPr>
        <w:t>high intensity CBT (</w:t>
      </w:r>
      <w:r w:rsidR="008D41F9" w:rsidRPr="002F1656">
        <w:rPr>
          <w:rFonts w:asciiTheme="minorHAnsi" w:hAnsiTheme="minorHAnsi" w:cstheme="minorHAnsi"/>
          <w:b/>
          <w:bCs/>
          <w:sz w:val="24"/>
          <w:szCs w:val="24"/>
        </w:rPr>
        <w:t>HIT</w:t>
      </w:r>
      <w:r w:rsidR="00400359"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CE0B78" w:rsidRPr="002F1656">
        <w:rPr>
          <w:rFonts w:asciiTheme="minorHAnsi" w:hAnsiTheme="minorHAnsi" w:cstheme="minorHAnsi"/>
          <w:b/>
          <w:bCs/>
          <w:sz w:val="24"/>
          <w:szCs w:val="24"/>
        </w:rPr>
        <w:t>training</w:t>
      </w:r>
      <w:r w:rsidR="00745E21"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? </w:t>
      </w:r>
    </w:p>
    <w:p w14:paraId="1E6785CC" w14:textId="77777777" w:rsidR="002F1656" w:rsidRPr="002F1656" w:rsidRDefault="002F1656" w:rsidP="002F1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4572F7C0" w14:textId="0B783F90" w:rsidR="00CE0B78" w:rsidRDefault="00CE0B78" w:rsidP="002F1656">
      <w:pPr>
        <w:jc w:val="both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sz w:val="24"/>
          <w:szCs w:val="24"/>
        </w:rPr>
        <w:t xml:space="preserve">Yes, </w:t>
      </w:r>
      <w:r w:rsidR="00400359" w:rsidRPr="002F1656">
        <w:rPr>
          <w:rFonts w:asciiTheme="minorHAnsi" w:hAnsiTheme="minorHAnsi" w:cstheme="minorHAnsi"/>
          <w:sz w:val="24"/>
          <w:szCs w:val="24"/>
        </w:rPr>
        <w:t>PWP apprenticeship graduates will be</w:t>
      </w:r>
      <w:r w:rsidRPr="002F1656">
        <w:rPr>
          <w:rFonts w:asciiTheme="minorHAnsi" w:hAnsiTheme="minorHAnsi" w:cstheme="minorHAnsi"/>
          <w:sz w:val="24"/>
          <w:szCs w:val="24"/>
        </w:rPr>
        <w:t xml:space="preserve"> eligible to apply for high intensity therapist training when they have completed a minimum of two years</w:t>
      </w:r>
      <w:r w:rsidR="00400359" w:rsidRPr="002F1656">
        <w:rPr>
          <w:rFonts w:asciiTheme="minorHAnsi" w:hAnsiTheme="minorHAnsi" w:cstheme="minorHAnsi"/>
          <w:sz w:val="24"/>
          <w:szCs w:val="24"/>
        </w:rPr>
        <w:t xml:space="preserve"> whole time equivalent</w:t>
      </w:r>
      <w:r w:rsidRPr="002F1656">
        <w:rPr>
          <w:rFonts w:asciiTheme="minorHAnsi" w:hAnsiTheme="minorHAnsi" w:cstheme="minorHAnsi"/>
          <w:sz w:val="24"/>
          <w:szCs w:val="24"/>
        </w:rPr>
        <w:t xml:space="preserve"> continuous employment as a PWP and pass</w:t>
      </w:r>
      <w:r w:rsidR="002F1656" w:rsidRPr="002F1656">
        <w:rPr>
          <w:rFonts w:asciiTheme="minorHAnsi" w:hAnsiTheme="minorHAnsi" w:cstheme="minorHAnsi"/>
          <w:sz w:val="24"/>
          <w:szCs w:val="24"/>
        </w:rPr>
        <w:t>ed</w:t>
      </w:r>
      <w:r w:rsidRPr="002F1656">
        <w:rPr>
          <w:rFonts w:asciiTheme="minorHAnsi" w:hAnsiTheme="minorHAnsi" w:cstheme="minorHAnsi"/>
          <w:sz w:val="24"/>
          <w:szCs w:val="24"/>
        </w:rPr>
        <w:t xml:space="preserve"> all PWP course requirements. The only exception to this two-year rule is if a PWP </w:t>
      </w:r>
      <w:r w:rsidRPr="002F1656">
        <w:rPr>
          <w:rFonts w:asciiTheme="minorHAnsi" w:hAnsiTheme="minorHAnsi" w:cstheme="minorHAnsi"/>
          <w:sz w:val="24"/>
          <w:szCs w:val="24"/>
        </w:rPr>
        <w:lastRenderedPageBreak/>
        <w:t xml:space="preserve">holds a previous core professional qualification recognised by the </w:t>
      </w:r>
      <w:r w:rsidR="002F1656" w:rsidRPr="002F1656">
        <w:rPr>
          <w:rFonts w:asciiTheme="minorHAnsi" w:hAnsiTheme="minorHAnsi" w:cstheme="minorHAnsi"/>
          <w:sz w:val="24"/>
          <w:szCs w:val="24"/>
        </w:rPr>
        <w:t>British Association for Behavioural and Cognitive Psychotherapies (</w:t>
      </w:r>
      <w:r w:rsidRPr="002F1656">
        <w:rPr>
          <w:rFonts w:asciiTheme="minorHAnsi" w:hAnsiTheme="minorHAnsi" w:cstheme="minorHAnsi"/>
          <w:sz w:val="24"/>
          <w:szCs w:val="24"/>
        </w:rPr>
        <w:t>BABCP</w:t>
      </w:r>
      <w:r w:rsidR="002F1656" w:rsidRPr="002F1656">
        <w:rPr>
          <w:rFonts w:asciiTheme="minorHAnsi" w:hAnsiTheme="minorHAnsi" w:cstheme="minorHAnsi"/>
          <w:sz w:val="24"/>
          <w:szCs w:val="24"/>
        </w:rPr>
        <w:t>)</w:t>
      </w:r>
      <w:r w:rsidRPr="002F1656">
        <w:rPr>
          <w:rFonts w:asciiTheme="minorHAnsi" w:hAnsiTheme="minorHAnsi" w:cstheme="minorHAnsi"/>
          <w:sz w:val="24"/>
          <w:szCs w:val="24"/>
        </w:rPr>
        <w:t>.</w:t>
      </w:r>
    </w:p>
    <w:p w14:paraId="1F2B332F" w14:textId="77777777" w:rsidR="00F87A2C" w:rsidRPr="002F1656" w:rsidRDefault="00F87A2C" w:rsidP="002F16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E0C2E4" w14:textId="70FAA350" w:rsidR="00F00078" w:rsidRPr="00E4689A" w:rsidRDefault="00EA7549" w:rsidP="002F1656">
      <w:pPr>
        <w:jc w:val="both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E4689A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How will application processes and interviews </w:t>
      </w:r>
      <w:r w:rsidR="00243130" w:rsidRPr="00E4689A">
        <w:rPr>
          <w:rFonts w:eastAsia="Times New Roman"/>
          <w:b/>
          <w:bCs/>
          <w:color w:val="000000"/>
          <w:sz w:val="24"/>
          <w:szCs w:val="24"/>
          <w:lang w:eastAsia="en-GB"/>
        </w:rPr>
        <w:t>allow</w:t>
      </w:r>
      <w:r w:rsidRPr="00E4689A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people from more diverse backgrounds</w:t>
      </w:r>
      <w:r w:rsidR="00243130" w:rsidRPr="00E4689A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E4689A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equity of consideration when applying?  </w:t>
      </w:r>
    </w:p>
    <w:p w14:paraId="5A582AF9" w14:textId="0375767E" w:rsidR="00243130" w:rsidRPr="00E4689A" w:rsidRDefault="00243130" w:rsidP="002F1656">
      <w:pPr>
        <w:jc w:val="both"/>
        <w:rPr>
          <w:rFonts w:eastAsia="Times New Roman"/>
          <w:b/>
          <w:bCs/>
          <w:color w:val="000000"/>
          <w:sz w:val="24"/>
          <w:szCs w:val="24"/>
          <w:lang w:eastAsia="en-GB"/>
        </w:rPr>
      </w:pPr>
    </w:p>
    <w:p w14:paraId="5A134F62" w14:textId="28078F04" w:rsidR="00415B39" w:rsidRDefault="009420CA" w:rsidP="002F1656">
      <w:pPr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E4689A">
        <w:rPr>
          <w:rFonts w:asciiTheme="minorHAnsi" w:hAnsiTheme="minorHAnsi" w:cstheme="minorHAnsi"/>
          <w:sz w:val="24"/>
          <w:szCs w:val="24"/>
        </w:rPr>
        <w:t>It is so important to ensure that for each course appropriate students are recruited and that this is fair process</w:t>
      </w:r>
      <w:r w:rsidR="002C0387" w:rsidRPr="00E4689A">
        <w:rPr>
          <w:rFonts w:asciiTheme="minorHAnsi" w:hAnsiTheme="minorHAnsi" w:cstheme="minorHAnsi"/>
          <w:sz w:val="24"/>
          <w:szCs w:val="24"/>
        </w:rPr>
        <w:t xml:space="preserve">. </w:t>
      </w:r>
      <w:r w:rsidR="00622AB0" w:rsidRPr="00E4689A">
        <w:rPr>
          <w:rFonts w:asciiTheme="minorHAnsi" w:hAnsiTheme="minorHAnsi" w:cstheme="minorHAnsi"/>
          <w:sz w:val="24"/>
          <w:szCs w:val="24"/>
        </w:rPr>
        <w:t>The U</w:t>
      </w:r>
      <w:r w:rsidR="00E23E6C" w:rsidRPr="00E4689A">
        <w:rPr>
          <w:rFonts w:asciiTheme="minorHAnsi" w:hAnsiTheme="minorHAnsi" w:cstheme="minorHAnsi"/>
          <w:sz w:val="24"/>
          <w:szCs w:val="24"/>
        </w:rPr>
        <w:t xml:space="preserve">niversity providers </w:t>
      </w:r>
      <w:r w:rsidR="00622AB0" w:rsidRPr="00E4689A">
        <w:rPr>
          <w:rFonts w:asciiTheme="minorHAnsi" w:hAnsiTheme="minorHAnsi" w:cstheme="minorHAnsi"/>
          <w:sz w:val="24"/>
          <w:szCs w:val="24"/>
        </w:rPr>
        <w:t xml:space="preserve">will </w:t>
      </w:r>
      <w:r w:rsidR="00E23E6C" w:rsidRPr="00E4689A">
        <w:rPr>
          <w:rFonts w:asciiTheme="minorHAnsi" w:hAnsiTheme="minorHAnsi" w:cstheme="minorHAnsi"/>
          <w:sz w:val="24"/>
          <w:szCs w:val="24"/>
        </w:rPr>
        <w:t xml:space="preserve">work </w:t>
      </w:r>
      <w:r w:rsidR="00C42D67" w:rsidRPr="00E4689A">
        <w:rPr>
          <w:rFonts w:asciiTheme="minorHAnsi" w:hAnsiTheme="minorHAnsi" w:cstheme="minorHAnsi"/>
          <w:sz w:val="24"/>
          <w:szCs w:val="24"/>
        </w:rPr>
        <w:t>collaboratively</w:t>
      </w:r>
      <w:r w:rsidR="00E23E6C" w:rsidRPr="00E4689A">
        <w:rPr>
          <w:rFonts w:asciiTheme="minorHAnsi" w:hAnsiTheme="minorHAnsi" w:cstheme="minorHAnsi"/>
          <w:sz w:val="24"/>
          <w:szCs w:val="24"/>
        </w:rPr>
        <w:t xml:space="preserve"> </w:t>
      </w:r>
      <w:r w:rsidR="00C42D67" w:rsidRPr="00E4689A">
        <w:rPr>
          <w:rFonts w:asciiTheme="minorHAnsi" w:hAnsiTheme="minorHAnsi" w:cstheme="minorHAnsi"/>
          <w:sz w:val="24"/>
          <w:szCs w:val="24"/>
        </w:rPr>
        <w:t>with you as an employer</w:t>
      </w:r>
      <w:r w:rsidR="00E23E6C" w:rsidRPr="00E4689A">
        <w:rPr>
          <w:rFonts w:asciiTheme="minorHAnsi" w:hAnsiTheme="minorHAnsi" w:cstheme="minorHAnsi"/>
          <w:sz w:val="24"/>
          <w:szCs w:val="24"/>
        </w:rPr>
        <w:t xml:space="preserve"> </w:t>
      </w:r>
      <w:r w:rsidR="00C42D67" w:rsidRPr="00E4689A">
        <w:rPr>
          <w:rFonts w:asciiTheme="minorHAnsi" w:hAnsiTheme="minorHAnsi" w:cstheme="minorHAnsi"/>
          <w:sz w:val="24"/>
          <w:szCs w:val="24"/>
        </w:rPr>
        <w:t>on the recruitment</w:t>
      </w:r>
      <w:r w:rsidR="00415B39" w:rsidRPr="00E4689A">
        <w:rPr>
          <w:rFonts w:eastAsia="Times New Roman"/>
          <w:color w:val="000000"/>
          <w:sz w:val="24"/>
          <w:szCs w:val="24"/>
          <w:lang w:eastAsia="en-GB"/>
        </w:rPr>
        <w:t xml:space="preserve"> criteria to ensure</w:t>
      </w:r>
      <w:r w:rsidR="00C42D67" w:rsidRPr="00E4689A">
        <w:rPr>
          <w:rFonts w:eastAsia="Times New Roman"/>
          <w:color w:val="000000"/>
          <w:sz w:val="24"/>
          <w:szCs w:val="24"/>
          <w:lang w:eastAsia="en-GB"/>
        </w:rPr>
        <w:t xml:space="preserve"> it is</w:t>
      </w:r>
      <w:r w:rsidR="00415B39" w:rsidRPr="00E4689A">
        <w:rPr>
          <w:rFonts w:eastAsia="Times New Roman"/>
          <w:color w:val="000000"/>
          <w:sz w:val="24"/>
          <w:szCs w:val="24"/>
          <w:lang w:eastAsia="en-GB"/>
        </w:rPr>
        <w:t xml:space="preserve"> appropriate to widening participation</w:t>
      </w:r>
      <w:r w:rsidR="00C42D67" w:rsidRPr="00E4689A">
        <w:rPr>
          <w:rFonts w:eastAsia="Times New Roman"/>
          <w:color w:val="000000"/>
          <w:sz w:val="24"/>
          <w:szCs w:val="24"/>
          <w:lang w:eastAsia="en-GB"/>
        </w:rPr>
        <w:t>.</w:t>
      </w:r>
      <w:r w:rsidR="00C42D67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45066757" w14:textId="21B75B1C" w:rsidR="00170192" w:rsidRDefault="00170192" w:rsidP="002F1656">
      <w:pPr>
        <w:jc w:val="both"/>
        <w:rPr>
          <w:rFonts w:eastAsia="Times New Roman"/>
          <w:color w:val="000000"/>
          <w:sz w:val="24"/>
          <w:szCs w:val="24"/>
          <w:lang w:eastAsia="en-GB"/>
        </w:rPr>
      </w:pPr>
    </w:p>
    <w:p w14:paraId="005E0FD4" w14:textId="233AF3C8" w:rsidR="00160143" w:rsidRPr="002F1656" w:rsidRDefault="00160143" w:rsidP="0003129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How can </w:t>
      </w:r>
      <w:r w:rsidR="00400359" w:rsidRPr="002F1656">
        <w:rPr>
          <w:rFonts w:asciiTheme="minorHAnsi" w:hAnsiTheme="minorHAnsi" w:cstheme="minorHAnsi"/>
          <w:b/>
          <w:bCs/>
          <w:sz w:val="24"/>
          <w:szCs w:val="24"/>
        </w:rPr>
        <w:t>employers</w:t>
      </w:r>
      <w:r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 access apprenticeship funding?</w:t>
      </w:r>
    </w:p>
    <w:p w14:paraId="1F9E2933" w14:textId="77777777" w:rsidR="002F1656" w:rsidRPr="002F1656" w:rsidRDefault="002F1656" w:rsidP="0003129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1254614E" w14:textId="07E2881D" w:rsidR="00CE1B47" w:rsidRPr="002F1656" w:rsidRDefault="002F1656" w:rsidP="00031299">
      <w:pPr>
        <w:jc w:val="both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sz w:val="24"/>
          <w:szCs w:val="24"/>
        </w:rPr>
        <w:t>All e</w:t>
      </w:r>
      <w:r w:rsidR="00160143" w:rsidRPr="002F1656">
        <w:rPr>
          <w:rFonts w:asciiTheme="minorHAnsi" w:hAnsiTheme="minorHAnsi" w:cstheme="minorHAnsi"/>
          <w:sz w:val="24"/>
          <w:szCs w:val="24"/>
        </w:rPr>
        <w:t xml:space="preserve">mployers with a pay bill </w:t>
      </w:r>
      <w:r w:rsidRPr="002F1656">
        <w:rPr>
          <w:rFonts w:asciiTheme="minorHAnsi" w:hAnsiTheme="minorHAnsi" w:cstheme="minorHAnsi"/>
          <w:sz w:val="24"/>
          <w:szCs w:val="24"/>
        </w:rPr>
        <w:t xml:space="preserve">of </w:t>
      </w:r>
      <w:r w:rsidR="00160143" w:rsidRPr="002F1656">
        <w:rPr>
          <w:rFonts w:asciiTheme="minorHAnsi" w:hAnsiTheme="minorHAnsi" w:cstheme="minorHAnsi"/>
          <w:sz w:val="24"/>
          <w:szCs w:val="24"/>
        </w:rPr>
        <w:t>over £3 million each year pay the apprenticeship levy</w:t>
      </w:r>
      <w:r w:rsidR="00400359" w:rsidRPr="002F1656">
        <w:rPr>
          <w:rFonts w:asciiTheme="minorHAnsi" w:hAnsiTheme="minorHAnsi" w:cstheme="minorHAnsi"/>
          <w:sz w:val="24"/>
          <w:szCs w:val="24"/>
        </w:rPr>
        <w:t xml:space="preserve"> and the levy can </w:t>
      </w:r>
      <w:r w:rsidR="009A1A64" w:rsidRPr="002F1656">
        <w:rPr>
          <w:rFonts w:asciiTheme="minorHAnsi" w:hAnsiTheme="minorHAnsi" w:cstheme="minorHAnsi"/>
          <w:sz w:val="24"/>
          <w:szCs w:val="24"/>
        </w:rPr>
        <w:t xml:space="preserve">only </w:t>
      </w:r>
      <w:r w:rsidR="00400359" w:rsidRPr="002F1656">
        <w:rPr>
          <w:rFonts w:asciiTheme="minorHAnsi" w:hAnsiTheme="minorHAnsi" w:cstheme="minorHAnsi"/>
          <w:sz w:val="24"/>
          <w:szCs w:val="24"/>
        </w:rPr>
        <w:t>be spent</w:t>
      </w:r>
      <w:r w:rsidR="00160143" w:rsidRPr="002F1656">
        <w:rPr>
          <w:rFonts w:asciiTheme="minorHAnsi" w:hAnsiTheme="minorHAnsi" w:cstheme="minorHAnsi"/>
          <w:sz w:val="24"/>
          <w:szCs w:val="24"/>
        </w:rPr>
        <w:t xml:space="preserve"> on apprenticeship training. </w:t>
      </w:r>
      <w:r w:rsidRPr="002F1656">
        <w:rPr>
          <w:rFonts w:asciiTheme="minorHAnsi" w:hAnsiTheme="minorHAnsi" w:cstheme="minorHAnsi"/>
          <w:sz w:val="24"/>
          <w:szCs w:val="24"/>
        </w:rPr>
        <w:t>Your</w:t>
      </w:r>
      <w:r w:rsidR="00160143" w:rsidRPr="002F1656">
        <w:rPr>
          <w:rFonts w:asciiTheme="minorHAnsi" w:hAnsiTheme="minorHAnsi" w:cstheme="minorHAnsi"/>
          <w:sz w:val="24"/>
          <w:szCs w:val="24"/>
        </w:rPr>
        <w:t xml:space="preserve"> organisation</w:t>
      </w:r>
      <w:r w:rsidR="00F005BB" w:rsidRPr="002F1656">
        <w:rPr>
          <w:rFonts w:asciiTheme="minorHAnsi" w:hAnsiTheme="minorHAnsi" w:cstheme="minorHAnsi"/>
          <w:sz w:val="24"/>
          <w:szCs w:val="24"/>
        </w:rPr>
        <w:t>’</w:t>
      </w:r>
      <w:r w:rsidR="00160143" w:rsidRPr="002F1656">
        <w:rPr>
          <w:rFonts w:asciiTheme="minorHAnsi" w:hAnsiTheme="minorHAnsi" w:cstheme="minorHAnsi"/>
          <w:sz w:val="24"/>
          <w:szCs w:val="24"/>
        </w:rPr>
        <w:t xml:space="preserve">s apprenticeship lead, </w:t>
      </w:r>
      <w:r w:rsidR="00F005BB" w:rsidRPr="002F1656">
        <w:rPr>
          <w:rFonts w:asciiTheme="minorHAnsi" w:hAnsiTheme="minorHAnsi" w:cstheme="minorHAnsi"/>
          <w:sz w:val="24"/>
          <w:szCs w:val="24"/>
        </w:rPr>
        <w:t>who</w:t>
      </w:r>
      <w:r w:rsidR="00160143" w:rsidRPr="002F1656">
        <w:rPr>
          <w:rFonts w:asciiTheme="minorHAnsi" w:hAnsiTheme="minorHAnsi" w:cstheme="minorHAnsi"/>
          <w:sz w:val="24"/>
          <w:szCs w:val="24"/>
        </w:rPr>
        <w:t xml:space="preserve"> normally work</w:t>
      </w:r>
      <w:r w:rsidR="009A1A64" w:rsidRPr="002F1656">
        <w:rPr>
          <w:rFonts w:asciiTheme="minorHAnsi" w:hAnsiTheme="minorHAnsi" w:cstheme="minorHAnsi"/>
          <w:sz w:val="24"/>
          <w:szCs w:val="24"/>
        </w:rPr>
        <w:t>s</w:t>
      </w:r>
      <w:r w:rsidR="00160143" w:rsidRPr="002F1656">
        <w:rPr>
          <w:rFonts w:asciiTheme="minorHAnsi" w:hAnsiTheme="minorHAnsi" w:cstheme="minorHAnsi"/>
          <w:sz w:val="24"/>
          <w:szCs w:val="24"/>
        </w:rPr>
        <w:t xml:space="preserve"> within the </w:t>
      </w:r>
      <w:r w:rsidR="009A1A64" w:rsidRPr="002F1656">
        <w:rPr>
          <w:rFonts w:asciiTheme="minorHAnsi" w:hAnsiTheme="minorHAnsi" w:cstheme="minorHAnsi"/>
          <w:sz w:val="24"/>
          <w:szCs w:val="24"/>
        </w:rPr>
        <w:t>t</w:t>
      </w:r>
      <w:r w:rsidR="00160143" w:rsidRPr="002F1656">
        <w:rPr>
          <w:rFonts w:asciiTheme="minorHAnsi" w:hAnsiTheme="minorHAnsi" w:cstheme="minorHAnsi"/>
          <w:sz w:val="24"/>
          <w:szCs w:val="24"/>
        </w:rPr>
        <w:t>raining or HR</w:t>
      </w:r>
      <w:r w:rsidR="009A1A64" w:rsidRPr="002F1656">
        <w:rPr>
          <w:rFonts w:asciiTheme="minorHAnsi" w:hAnsiTheme="minorHAnsi" w:cstheme="minorHAnsi"/>
          <w:sz w:val="24"/>
          <w:szCs w:val="24"/>
        </w:rPr>
        <w:t xml:space="preserve"> departments</w:t>
      </w:r>
      <w:r w:rsidRPr="002F1656">
        <w:rPr>
          <w:rFonts w:asciiTheme="minorHAnsi" w:hAnsiTheme="minorHAnsi" w:cstheme="minorHAnsi"/>
          <w:sz w:val="24"/>
          <w:szCs w:val="24"/>
        </w:rPr>
        <w:t xml:space="preserve">, </w:t>
      </w:r>
      <w:r w:rsidR="00160143" w:rsidRPr="002F1656">
        <w:rPr>
          <w:rFonts w:asciiTheme="minorHAnsi" w:hAnsiTheme="minorHAnsi" w:cstheme="minorHAnsi"/>
          <w:sz w:val="24"/>
          <w:szCs w:val="24"/>
        </w:rPr>
        <w:t xml:space="preserve">will be able to help you access </w:t>
      </w:r>
      <w:r w:rsidR="00F005BB" w:rsidRPr="002F1656">
        <w:rPr>
          <w:rFonts w:asciiTheme="minorHAnsi" w:hAnsiTheme="minorHAnsi" w:cstheme="minorHAnsi"/>
          <w:sz w:val="24"/>
          <w:szCs w:val="24"/>
        </w:rPr>
        <w:t xml:space="preserve">the </w:t>
      </w:r>
      <w:r w:rsidR="00160143" w:rsidRPr="002F1656">
        <w:rPr>
          <w:rFonts w:asciiTheme="minorHAnsi" w:hAnsiTheme="minorHAnsi" w:cstheme="minorHAnsi"/>
          <w:sz w:val="24"/>
          <w:szCs w:val="24"/>
        </w:rPr>
        <w:t>apprenticeship levy and start apprentices on programme</w:t>
      </w:r>
      <w:r w:rsidRPr="002F1656">
        <w:rPr>
          <w:rFonts w:asciiTheme="minorHAnsi" w:hAnsiTheme="minorHAnsi" w:cstheme="minorHAnsi"/>
          <w:sz w:val="24"/>
          <w:szCs w:val="24"/>
        </w:rPr>
        <w:t>s</w:t>
      </w:r>
      <w:r w:rsidR="00160143" w:rsidRPr="002F165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61E196" w14:textId="77777777" w:rsidR="002F1656" w:rsidRPr="002F1656" w:rsidRDefault="002F1656" w:rsidP="000312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53CF4B" w14:textId="74EA1962" w:rsidR="00160143" w:rsidRPr="002F1656" w:rsidRDefault="00160143" w:rsidP="0003129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My organisation </w:t>
      </w:r>
      <w:proofErr w:type="gramStart"/>
      <w:r w:rsidRPr="002F1656">
        <w:rPr>
          <w:rFonts w:asciiTheme="minorHAnsi" w:hAnsiTheme="minorHAnsi" w:cstheme="minorHAnsi"/>
          <w:b/>
          <w:bCs/>
          <w:sz w:val="24"/>
          <w:szCs w:val="24"/>
        </w:rPr>
        <w:t>doesn’t</w:t>
      </w:r>
      <w:proofErr w:type="gramEnd"/>
      <w:r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 pay the apprenticeship levy, how can I access funding? </w:t>
      </w:r>
    </w:p>
    <w:p w14:paraId="53DCBA03" w14:textId="77777777" w:rsidR="002F1656" w:rsidRPr="002F1656" w:rsidRDefault="002F1656" w:rsidP="0003129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3443123" w14:textId="4F9E8EA1" w:rsidR="00160143" w:rsidRDefault="00160143" w:rsidP="00031299">
      <w:pPr>
        <w:jc w:val="both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sz w:val="24"/>
          <w:szCs w:val="24"/>
        </w:rPr>
        <w:t xml:space="preserve">If </w:t>
      </w:r>
      <w:r w:rsidR="00F005BB" w:rsidRPr="002F1656">
        <w:rPr>
          <w:rFonts w:asciiTheme="minorHAnsi" w:hAnsiTheme="minorHAnsi" w:cstheme="minorHAnsi"/>
          <w:sz w:val="24"/>
          <w:szCs w:val="24"/>
        </w:rPr>
        <w:t>an organisation</w:t>
      </w:r>
      <w:r w:rsidRPr="002F1656">
        <w:rPr>
          <w:rFonts w:asciiTheme="minorHAnsi" w:hAnsiTheme="minorHAnsi" w:cstheme="minorHAnsi"/>
          <w:sz w:val="24"/>
          <w:szCs w:val="24"/>
        </w:rPr>
        <w:t xml:space="preserve"> do</w:t>
      </w:r>
      <w:r w:rsidR="00F005BB" w:rsidRPr="002F1656">
        <w:rPr>
          <w:rFonts w:asciiTheme="minorHAnsi" w:hAnsiTheme="minorHAnsi" w:cstheme="minorHAnsi"/>
          <w:sz w:val="24"/>
          <w:szCs w:val="24"/>
        </w:rPr>
        <w:t>es</w:t>
      </w:r>
      <w:r w:rsidRPr="002F1656">
        <w:rPr>
          <w:rFonts w:asciiTheme="minorHAnsi" w:hAnsiTheme="minorHAnsi" w:cstheme="minorHAnsi"/>
          <w:sz w:val="24"/>
          <w:szCs w:val="24"/>
        </w:rPr>
        <w:t xml:space="preserve"> not pay the apprenticeship levy </w:t>
      </w:r>
      <w:r w:rsidR="00F005BB" w:rsidRPr="002F1656">
        <w:rPr>
          <w:rFonts w:asciiTheme="minorHAnsi" w:hAnsiTheme="minorHAnsi" w:cstheme="minorHAnsi"/>
          <w:sz w:val="24"/>
          <w:szCs w:val="24"/>
        </w:rPr>
        <w:t>it</w:t>
      </w:r>
      <w:r w:rsidRPr="002F1656">
        <w:rPr>
          <w:rFonts w:asciiTheme="minorHAnsi" w:hAnsiTheme="minorHAnsi" w:cstheme="minorHAnsi"/>
          <w:sz w:val="24"/>
          <w:szCs w:val="24"/>
        </w:rPr>
        <w:t xml:space="preserve"> can still access government funding for apprenticeships. </w:t>
      </w:r>
      <w:r w:rsidR="00F005BB" w:rsidRPr="002F1656">
        <w:rPr>
          <w:rFonts w:asciiTheme="minorHAnsi" w:hAnsiTheme="minorHAnsi" w:cstheme="minorHAnsi"/>
          <w:sz w:val="24"/>
          <w:szCs w:val="24"/>
        </w:rPr>
        <w:t>It</w:t>
      </w:r>
      <w:r w:rsidRPr="002F1656">
        <w:rPr>
          <w:rFonts w:asciiTheme="minorHAnsi" w:hAnsiTheme="minorHAnsi" w:cstheme="minorHAnsi"/>
          <w:sz w:val="24"/>
          <w:szCs w:val="24"/>
        </w:rPr>
        <w:t xml:space="preserve"> can either:</w:t>
      </w:r>
    </w:p>
    <w:p w14:paraId="10D2A982" w14:textId="77777777" w:rsidR="002F1656" w:rsidRPr="002F1656" w:rsidRDefault="002F1656" w:rsidP="0003129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A1DE1BB" w14:textId="7CBD8CBB" w:rsidR="00160143" w:rsidRDefault="00160143" w:rsidP="002F1656">
      <w:pPr>
        <w:pStyle w:val="ListParagraph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F1656">
        <w:rPr>
          <w:rFonts w:cstheme="minorHAnsi"/>
          <w:sz w:val="24"/>
          <w:szCs w:val="24"/>
        </w:rPr>
        <w:t>Reserve government co-investment</w:t>
      </w:r>
      <w:r w:rsidR="00F005BB" w:rsidRPr="002F1656">
        <w:rPr>
          <w:rFonts w:cstheme="minorHAnsi"/>
          <w:sz w:val="24"/>
          <w:szCs w:val="24"/>
        </w:rPr>
        <w:t>: organisations</w:t>
      </w:r>
      <w:r w:rsidRPr="002F1656">
        <w:rPr>
          <w:rFonts w:cstheme="minorHAnsi"/>
          <w:sz w:val="24"/>
          <w:szCs w:val="24"/>
        </w:rPr>
        <w:t xml:space="preserve"> can reserve funding, where the government pays 95% of the training costs and the employer pays the remaining 5%. </w:t>
      </w:r>
    </w:p>
    <w:p w14:paraId="0ECCDE18" w14:textId="77777777" w:rsidR="002F1656" w:rsidRPr="002F1656" w:rsidRDefault="002F1656" w:rsidP="002F1656">
      <w:pPr>
        <w:pStyle w:val="ListParagraph"/>
        <w:ind w:left="567"/>
        <w:rPr>
          <w:rFonts w:cstheme="minorHAnsi"/>
          <w:sz w:val="12"/>
          <w:szCs w:val="12"/>
        </w:rPr>
      </w:pPr>
    </w:p>
    <w:p w14:paraId="4769B0DA" w14:textId="62997F58" w:rsidR="00160143" w:rsidRPr="002F1656" w:rsidRDefault="00160143" w:rsidP="002F1656">
      <w:pPr>
        <w:pStyle w:val="ListParagraph"/>
        <w:numPr>
          <w:ilvl w:val="0"/>
          <w:numId w:val="3"/>
        </w:numPr>
        <w:ind w:left="567" w:hanging="567"/>
        <w:rPr>
          <w:rFonts w:cstheme="minorHAnsi"/>
          <w:sz w:val="24"/>
          <w:szCs w:val="24"/>
        </w:rPr>
      </w:pPr>
      <w:r w:rsidRPr="002F1656">
        <w:rPr>
          <w:rFonts w:cstheme="minorHAnsi"/>
          <w:sz w:val="24"/>
          <w:szCs w:val="24"/>
        </w:rPr>
        <w:t>Levy Transfers</w:t>
      </w:r>
      <w:r w:rsidR="00F005BB" w:rsidRPr="002F1656">
        <w:rPr>
          <w:rFonts w:cstheme="minorHAnsi"/>
          <w:sz w:val="24"/>
          <w:szCs w:val="24"/>
        </w:rPr>
        <w:t>: l</w:t>
      </w:r>
      <w:r w:rsidRPr="002F1656">
        <w:rPr>
          <w:rFonts w:cstheme="minorHAnsi"/>
          <w:sz w:val="24"/>
          <w:szCs w:val="24"/>
        </w:rPr>
        <w:t>evy paying employers can transfer some of their annual levy to other employers.</w:t>
      </w:r>
      <w:r w:rsidR="00F005BB" w:rsidRPr="002F1656">
        <w:rPr>
          <w:rFonts w:cstheme="minorHAnsi"/>
          <w:sz w:val="24"/>
          <w:szCs w:val="24"/>
        </w:rPr>
        <w:t xml:space="preserve"> </w:t>
      </w:r>
      <w:r w:rsidRPr="002F1656">
        <w:rPr>
          <w:rFonts w:cstheme="minorHAnsi"/>
          <w:sz w:val="24"/>
          <w:szCs w:val="24"/>
        </w:rPr>
        <w:t>These transfers cover 100% of the training costs of the apprenticeship</w:t>
      </w:r>
      <w:r w:rsidR="00F005BB" w:rsidRPr="002F1656">
        <w:rPr>
          <w:rFonts w:cstheme="minorHAnsi"/>
          <w:sz w:val="24"/>
          <w:szCs w:val="24"/>
        </w:rPr>
        <w:t>.</w:t>
      </w:r>
    </w:p>
    <w:p w14:paraId="6E7364BC" w14:textId="77777777" w:rsidR="000752D0" w:rsidRPr="000752D0" w:rsidRDefault="000752D0" w:rsidP="00031299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28E58B3D" w14:textId="75209A7C" w:rsidR="00160143" w:rsidRDefault="00160143" w:rsidP="0003129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sz w:val="24"/>
          <w:szCs w:val="24"/>
        </w:rPr>
        <w:t>Can I use apprenticeship funding to pay for my apprentice</w:t>
      </w:r>
      <w:r w:rsidR="009A1A64" w:rsidRPr="002F1656">
        <w:rPr>
          <w:rFonts w:asciiTheme="minorHAnsi" w:hAnsiTheme="minorHAnsi" w:cstheme="minorHAnsi"/>
          <w:b/>
          <w:bCs/>
          <w:sz w:val="24"/>
          <w:szCs w:val="24"/>
        </w:rPr>
        <w:t>’</w:t>
      </w:r>
      <w:r w:rsidRPr="002F1656">
        <w:rPr>
          <w:rFonts w:asciiTheme="minorHAnsi" w:hAnsiTheme="minorHAnsi" w:cstheme="minorHAnsi"/>
          <w:b/>
          <w:bCs/>
          <w:sz w:val="24"/>
          <w:szCs w:val="24"/>
        </w:rPr>
        <w:t xml:space="preserve">s salary? </w:t>
      </w:r>
    </w:p>
    <w:p w14:paraId="7ED37A82" w14:textId="77777777" w:rsidR="000752D0" w:rsidRPr="000752D0" w:rsidRDefault="000752D0" w:rsidP="0003129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91B60FB" w14:textId="31294683" w:rsidR="00160143" w:rsidRPr="002F1656" w:rsidRDefault="00160143" w:rsidP="00031299">
      <w:pPr>
        <w:jc w:val="both"/>
        <w:rPr>
          <w:rFonts w:asciiTheme="minorHAnsi" w:hAnsiTheme="minorHAnsi" w:cstheme="minorHAnsi"/>
          <w:sz w:val="24"/>
          <w:szCs w:val="24"/>
        </w:rPr>
      </w:pPr>
      <w:r w:rsidRPr="002F1656">
        <w:rPr>
          <w:rFonts w:asciiTheme="minorHAnsi" w:hAnsiTheme="minorHAnsi" w:cstheme="minorHAnsi"/>
          <w:sz w:val="24"/>
          <w:szCs w:val="24"/>
        </w:rPr>
        <w:t>Apprenticeship levy, reservations and transfers do not cover salary costs</w:t>
      </w:r>
      <w:r w:rsidR="00F005BB" w:rsidRPr="002F1656">
        <w:rPr>
          <w:rFonts w:asciiTheme="minorHAnsi" w:hAnsiTheme="minorHAnsi" w:cstheme="minorHAnsi"/>
          <w:sz w:val="24"/>
          <w:szCs w:val="24"/>
        </w:rPr>
        <w:t xml:space="preserve"> so</w:t>
      </w:r>
      <w:r w:rsidRPr="002F1656">
        <w:rPr>
          <w:rFonts w:asciiTheme="minorHAnsi" w:hAnsiTheme="minorHAnsi" w:cstheme="minorHAnsi"/>
          <w:sz w:val="24"/>
          <w:szCs w:val="24"/>
        </w:rPr>
        <w:t xml:space="preserve"> your organisation will need to fund the apprentice’s salary. </w:t>
      </w:r>
    </w:p>
    <w:p w14:paraId="1782D62D" w14:textId="115F33DF" w:rsidR="007E79B3" w:rsidRPr="000752D0" w:rsidRDefault="007E79B3" w:rsidP="00031299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0C55BC58" w14:textId="39CE6F1C" w:rsidR="007E79B3" w:rsidRDefault="007E79B3" w:rsidP="0003129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1656">
        <w:rPr>
          <w:rFonts w:asciiTheme="minorHAnsi" w:hAnsiTheme="minorHAnsi" w:cstheme="minorHAnsi"/>
          <w:b/>
          <w:bCs/>
          <w:sz w:val="24"/>
          <w:szCs w:val="24"/>
        </w:rPr>
        <w:t>How are PWP apprentices’ salary costs funded?</w:t>
      </w:r>
    </w:p>
    <w:p w14:paraId="3F8957AB" w14:textId="77777777" w:rsidR="000752D0" w:rsidRPr="000752D0" w:rsidRDefault="000752D0" w:rsidP="00031299">
      <w:pPr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7C332064" w14:textId="18452A04" w:rsidR="007E79B3" w:rsidRDefault="007E79B3" w:rsidP="007E79B3">
      <w:pPr>
        <w:jc w:val="both"/>
        <w:rPr>
          <w:rFonts w:asciiTheme="minorHAnsi" w:eastAsia="Times New Roman" w:hAnsiTheme="minorHAnsi" w:cstheme="minorHAnsi"/>
          <w:b/>
          <w:bCs/>
          <w:sz w:val="23"/>
          <w:szCs w:val="23"/>
          <w:lang w:eastAsia="en-GB"/>
        </w:rPr>
      </w:pPr>
      <w:r w:rsidRPr="002F1656">
        <w:rPr>
          <w:rFonts w:asciiTheme="minorHAnsi" w:hAnsiTheme="minorHAnsi" w:cstheme="minorHAnsi"/>
          <w:sz w:val="24"/>
          <w:szCs w:val="24"/>
        </w:rPr>
        <w:t xml:space="preserve">Apprentices’ salary costs are covered in </w:t>
      </w:r>
      <w:proofErr w:type="gramStart"/>
      <w:r w:rsidRPr="002F1656">
        <w:rPr>
          <w:rFonts w:asciiTheme="minorHAnsi" w:hAnsiTheme="minorHAnsi" w:cstheme="minorHAnsi"/>
          <w:sz w:val="24"/>
          <w:szCs w:val="24"/>
        </w:rPr>
        <w:t>exactly the same</w:t>
      </w:r>
      <w:proofErr w:type="gramEnd"/>
      <w:r w:rsidRPr="002F1656">
        <w:rPr>
          <w:rFonts w:asciiTheme="minorHAnsi" w:hAnsiTheme="minorHAnsi" w:cstheme="minorHAnsi"/>
          <w:sz w:val="24"/>
          <w:szCs w:val="24"/>
        </w:rPr>
        <w:t xml:space="preserve"> way as</w:t>
      </w:r>
      <w:r w:rsidR="000752D0">
        <w:rPr>
          <w:rFonts w:asciiTheme="minorHAnsi" w:hAnsiTheme="minorHAnsi" w:cstheme="minorHAnsi"/>
          <w:sz w:val="24"/>
          <w:szCs w:val="24"/>
        </w:rPr>
        <w:t xml:space="preserve"> for</w:t>
      </w:r>
      <w:r w:rsidRPr="002F1656">
        <w:rPr>
          <w:rFonts w:asciiTheme="minorHAnsi" w:hAnsiTheme="minorHAnsi" w:cstheme="minorHAnsi"/>
          <w:sz w:val="24"/>
          <w:szCs w:val="24"/>
        </w:rPr>
        <w:t xml:space="preserve"> other PWP trainees. </w:t>
      </w:r>
      <w:r w:rsidR="00160143" w:rsidRPr="002F1656">
        <w:rPr>
          <w:rFonts w:asciiTheme="minorHAnsi" w:hAnsiTheme="minorHAnsi" w:cstheme="minorHAnsi"/>
          <w:sz w:val="24"/>
          <w:szCs w:val="24"/>
        </w:rPr>
        <w:t> </w:t>
      </w:r>
      <w:r w:rsidRPr="002F1656">
        <w:rPr>
          <w:rFonts w:asciiTheme="minorHAnsi" w:eastAsia="Times New Roman" w:hAnsiTheme="minorHAnsi" w:cstheme="minorHAnsi"/>
          <w:sz w:val="24"/>
          <w:szCs w:val="24"/>
        </w:rPr>
        <w:t>Employers will receive funding for the salary costs</w:t>
      </w:r>
      <w:r w:rsidRPr="002F1656">
        <w:rPr>
          <w:rFonts w:asciiTheme="minorHAnsi" w:eastAsia="Times New Roman" w:hAnsiTheme="minorHAnsi" w:cstheme="minorHAnsi"/>
          <w:i/>
          <w:iCs/>
          <w:sz w:val="24"/>
          <w:szCs w:val="24"/>
        </w:rPr>
        <w:t> </w:t>
      </w:r>
      <w:r w:rsidRPr="002F1656">
        <w:rPr>
          <w:rFonts w:asciiTheme="minorHAnsi" w:eastAsia="Times New Roman" w:hAnsiTheme="minorHAnsi" w:cstheme="minorHAnsi"/>
          <w:sz w:val="24"/>
          <w:szCs w:val="24"/>
        </w:rPr>
        <w:t xml:space="preserve">in line with the nationally agreed funding model: HEE will provide 60% of the salary funding directly to employers and the remaining 40% will come to employers from the local Clinical Commissioning Group. </w:t>
      </w:r>
      <w:r w:rsidRPr="00CE1B47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en-GB"/>
        </w:rPr>
        <w:t xml:space="preserve">Employers must obtain prior approval from CCG commissioners for the 40% salary support available except where the employer is prepared to fund the </w:t>
      </w:r>
      <w:r w:rsidR="000752D0" w:rsidRPr="00CE1B47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en-GB"/>
        </w:rPr>
        <w:t xml:space="preserve">40% </w:t>
      </w:r>
      <w:r w:rsidRPr="00CE1B47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en-GB"/>
        </w:rPr>
        <w:t>salary support themselves.</w:t>
      </w:r>
    </w:p>
    <w:p w14:paraId="4316B32A" w14:textId="506E96E9" w:rsidR="00160143" w:rsidRPr="000752D0" w:rsidRDefault="00160143" w:rsidP="005627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3D6A5CF" w14:textId="78C78EAC" w:rsidR="007E79B3" w:rsidRPr="000752D0" w:rsidRDefault="007E79B3" w:rsidP="005627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52D0">
        <w:rPr>
          <w:rFonts w:asciiTheme="minorHAnsi" w:hAnsiTheme="minorHAnsi" w:cstheme="minorHAnsi"/>
          <w:b/>
          <w:bCs/>
          <w:sz w:val="24"/>
          <w:szCs w:val="24"/>
        </w:rPr>
        <w:t>For further information about the PWP apprenticeship scheme in your region, please contact your relevant HEE lead from the information</w:t>
      </w:r>
      <w:r w:rsidR="00C31CD7" w:rsidRPr="000752D0">
        <w:rPr>
          <w:rFonts w:asciiTheme="minorHAnsi" w:hAnsiTheme="minorHAnsi" w:cstheme="minorHAnsi"/>
          <w:b/>
          <w:bCs/>
          <w:sz w:val="24"/>
          <w:szCs w:val="24"/>
        </w:rPr>
        <w:t xml:space="preserve"> given</w:t>
      </w:r>
      <w:r w:rsidRPr="000752D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FE40E2" w:rsidRPr="000752D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here</w:t>
        </w:r>
      </w:hyperlink>
    </w:p>
    <w:sectPr w:rsidR="007E79B3" w:rsidRPr="000752D0" w:rsidSect="00887FF4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B5D"/>
    <w:multiLevelType w:val="hybridMultilevel"/>
    <w:tmpl w:val="8FAC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57A"/>
    <w:multiLevelType w:val="hybridMultilevel"/>
    <w:tmpl w:val="2C42652C"/>
    <w:lvl w:ilvl="0" w:tplc="A6D25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5A38"/>
    <w:multiLevelType w:val="hybridMultilevel"/>
    <w:tmpl w:val="D30E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0934"/>
    <w:multiLevelType w:val="hybridMultilevel"/>
    <w:tmpl w:val="734CA808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8E63F5"/>
    <w:multiLevelType w:val="hybridMultilevel"/>
    <w:tmpl w:val="137E1D1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0085B"/>
    <w:multiLevelType w:val="hybridMultilevel"/>
    <w:tmpl w:val="5330EB36"/>
    <w:lvl w:ilvl="0" w:tplc="D8724F1E">
      <w:start w:val="1"/>
      <w:numFmt w:val="decimal"/>
      <w:lvlText w:val="%1."/>
      <w:lvlJc w:val="left"/>
      <w:pPr>
        <w:ind w:left="1260" w:hanging="12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06D7"/>
    <w:multiLevelType w:val="hybridMultilevel"/>
    <w:tmpl w:val="4C18C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43"/>
    <w:rsid w:val="00007151"/>
    <w:rsid w:val="00021D66"/>
    <w:rsid w:val="00031299"/>
    <w:rsid w:val="00054FF6"/>
    <w:rsid w:val="000752D0"/>
    <w:rsid w:val="00076530"/>
    <w:rsid w:val="000E1849"/>
    <w:rsid w:val="00144AF0"/>
    <w:rsid w:val="00160143"/>
    <w:rsid w:val="00170192"/>
    <w:rsid w:val="00177124"/>
    <w:rsid w:val="00224280"/>
    <w:rsid w:val="00243130"/>
    <w:rsid w:val="002B29F4"/>
    <w:rsid w:val="002C0387"/>
    <w:rsid w:val="002F1656"/>
    <w:rsid w:val="002F4FA0"/>
    <w:rsid w:val="003676F1"/>
    <w:rsid w:val="003D4FD2"/>
    <w:rsid w:val="00400359"/>
    <w:rsid w:val="00401530"/>
    <w:rsid w:val="00415B39"/>
    <w:rsid w:val="00463550"/>
    <w:rsid w:val="004815B1"/>
    <w:rsid w:val="004E16C5"/>
    <w:rsid w:val="00562720"/>
    <w:rsid w:val="005A6B68"/>
    <w:rsid w:val="005C3174"/>
    <w:rsid w:val="00622AB0"/>
    <w:rsid w:val="006557ED"/>
    <w:rsid w:val="006849BF"/>
    <w:rsid w:val="006C48EF"/>
    <w:rsid w:val="00745E21"/>
    <w:rsid w:val="00747425"/>
    <w:rsid w:val="00752134"/>
    <w:rsid w:val="00791039"/>
    <w:rsid w:val="007B0ED8"/>
    <w:rsid w:val="007C5ACA"/>
    <w:rsid w:val="007E79B3"/>
    <w:rsid w:val="00863A56"/>
    <w:rsid w:val="00887FF4"/>
    <w:rsid w:val="00893EC7"/>
    <w:rsid w:val="008D10BE"/>
    <w:rsid w:val="008D41F9"/>
    <w:rsid w:val="009420CA"/>
    <w:rsid w:val="009A1A64"/>
    <w:rsid w:val="009D7E0A"/>
    <w:rsid w:val="00A544A5"/>
    <w:rsid w:val="00A72562"/>
    <w:rsid w:val="00AA4619"/>
    <w:rsid w:val="00AA7013"/>
    <w:rsid w:val="00AE1614"/>
    <w:rsid w:val="00B665EA"/>
    <w:rsid w:val="00C31CD7"/>
    <w:rsid w:val="00C42D67"/>
    <w:rsid w:val="00C77888"/>
    <w:rsid w:val="00CD3A50"/>
    <w:rsid w:val="00CE0B78"/>
    <w:rsid w:val="00CE1B47"/>
    <w:rsid w:val="00D10070"/>
    <w:rsid w:val="00DB4CE7"/>
    <w:rsid w:val="00DC53C5"/>
    <w:rsid w:val="00E23E6C"/>
    <w:rsid w:val="00E4689A"/>
    <w:rsid w:val="00EA7549"/>
    <w:rsid w:val="00ED6ADF"/>
    <w:rsid w:val="00F00078"/>
    <w:rsid w:val="00F005BB"/>
    <w:rsid w:val="00F84CE9"/>
    <w:rsid w:val="00F87A2C"/>
    <w:rsid w:val="00F91537"/>
    <w:rsid w:val="00F9648E"/>
    <w:rsid w:val="00FB5FDE"/>
    <w:rsid w:val="00FB758E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F77E"/>
  <w15:chartTrackingRefBased/>
  <w15:docId w15:val="{1CB81F8E-D261-4FEA-B68D-839C43B9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4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14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60143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"/>
    <w:basedOn w:val="DefaultParagraphFont"/>
    <w:link w:val="ListParagraph"/>
    <w:uiPriority w:val="34"/>
    <w:locked/>
    <w:rsid w:val="00160143"/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"/>
    <w:basedOn w:val="Normal"/>
    <w:link w:val="ListParagraphChar"/>
    <w:uiPriority w:val="34"/>
    <w:qFormat/>
    <w:rsid w:val="00160143"/>
    <w:pPr>
      <w:ind w:left="720"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7521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E79B3"/>
    <w:rPr>
      <w:i/>
      <w:iCs/>
    </w:rPr>
  </w:style>
  <w:style w:type="character" w:styleId="Strong">
    <w:name w:val="Strong"/>
    <w:basedOn w:val="DefaultParagraphFont"/>
    <w:uiPriority w:val="22"/>
    <w:qFormat/>
    <w:rsid w:val="007E79B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6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165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so.skillsforhealth.org.uk/news/health-education-england-relationship-managers-meet-the-te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edgepilot.com/s/d06a9889/PwwTHoXezkqS_194cc-HNw?u=https://www.lifetimetraining.co.uk/apprenticeships/apprentices/apprenticeship-faqs/%23answer0-anchor_block-17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edgepilot.com/s/9a1fa722/nJA1llJDOUugxKOzsM8HsA?u=https://www.lifetimetraining.co.uk/apprenticeships/apprentices/apprenticeship-faqs/%23answer1-anchor_block-17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Watkins</dc:creator>
  <cp:keywords/>
  <dc:description/>
  <cp:lastModifiedBy>Fay Lane</cp:lastModifiedBy>
  <cp:revision>2</cp:revision>
  <dcterms:created xsi:type="dcterms:W3CDTF">2021-06-28T11:38:00Z</dcterms:created>
  <dcterms:modified xsi:type="dcterms:W3CDTF">2021-06-28T11:38:00Z</dcterms:modified>
</cp:coreProperties>
</file>