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DA38" w14:textId="77777777" w:rsidR="00727C0F" w:rsidRPr="0039433C" w:rsidRDefault="00727C0F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E693AB0" w14:textId="77777777" w:rsidR="00727C0F" w:rsidRDefault="00727C0F">
      <w:pPr>
        <w:spacing w:after="0" w:line="200" w:lineRule="exact"/>
        <w:rPr>
          <w:sz w:val="20"/>
          <w:szCs w:val="20"/>
        </w:rPr>
      </w:pPr>
    </w:p>
    <w:p w14:paraId="75FD2915" w14:textId="77777777" w:rsidR="008A0848" w:rsidRDefault="00727C0F">
      <w:pPr>
        <w:spacing w:before="9" w:after="0" w:line="451" w:lineRule="exact"/>
        <w:ind w:left="285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8"/>
          <w:position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pacing w:val="20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18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20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36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2"/>
          <w:position w:val="-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18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21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18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20"/>
          <w:position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8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E</w:t>
      </w:r>
    </w:p>
    <w:tbl>
      <w:tblPr>
        <w:tblW w:w="11717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529"/>
        <w:gridCol w:w="7102"/>
        <w:gridCol w:w="1756"/>
      </w:tblGrid>
      <w:tr w:rsidR="008A0848" w14:paraId="788FEEA0" w14:textId="77777777" w:rsidTr="00215478">
        <w:trPr>
          <w:trHeight w:val="176"/>
        </w:trPr>
        <w:tc>
          <w:tcPr>
            <w:tcW w:w="2859" w:type="dxa"/>
            <w:gridSpan w:val="2"/>
          </w:tcPr>
          <w:p w14:paraId="0C1E0A59" w14:textId="77777777" w:rsidR="008A0848" w:rsidRDefault="008A0848" w:rsidP="00D744F6">
            <w:pPr>
              <w:rPr>
                <w:rFonts w:ascii="Arial" w:eastAsia="Arial" w:hAnsi="Arial" w:cs="Arial"/>
              </w:rPr>
            </w:pPr>
          </w:p>
        </w:tc>
        <w:tc>
          <w:tcPr>
            <w:tcW w:w="8858" w:type="dxa"/>
            <w:gridSpan w:val="2"/>
          </w:tcPr>
          <w:p w14:paraId="777FB000" w14:textId="77777777" w:rsidR="008A0848" w:rsidRDefault="008A0848" w:rsidP="00AF2E90">
            <w:pPr>
              <w:spacing w:before="12"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744F6" w14:paraId="26CEAC03" w14:textId="77777777" w:rsidTr="00215478">
        <w:trPr>
          <w:gridAfter w:val="1"/>
          <w:wAfter w:w="1756" w:type="dxa"/>
          <w:trHeight w:val="113"/>
        </w:trPr>
        <w:tc>
          <w:tcPr>
            <w:tcW w:w="2330" w:type="dxa"/>
          </w:tcPr>
          <w:p w14:paraId="44C26F6E" w14:textId="77777777" w:rsidR="00D744F6" w:rsidRDefault="00D744F6" w:rsidP="000A7B3A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631" w:type="dxa"/>
            <w:gridSpan w:val="2"/>
          </w:tcPr>
          <w:p w14:paraId="723999D0" w14:textId="53E66C6D" w:rsidR="00D744F6" w:rsidRDefault="00580DE9" w:rsidP="00580DE9">
            <w:pPr>
              <w:spacing w:before="35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870289"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00C106CD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870289"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C106CD">
              <w:rPr>
                <w:rFonts w:ascii="Arial" w:eastAsia="Arial" w:hAnsi="Arial" w:cs="Arial"/>
                <w:sz w:val="24"/>
                <w:szCs w:val="24"/>
              </w:rPr>
              <w:t>/2021</w:t>
            </w:r>
          </w:p>
        </w:tc>
      </w:tr>
      <w:tr w:rsidR="00D744F6" w14:paraId="7B562B0A" w14:textId="77777777" w:rsidTr="00215478">
        <w:trPr>
          <w:gridAfter w:val="1"/>
          <w:wAfter w:w="1756" w:type="dxa"/>
          <w:trHeight w:val="113"/>
        </w:trPr>
        <w:tc>
          <w:tcPr>
            <w:tcW w:w="2330" w:type="dxa"/>
          </w:tcPr>
          <w:p w14:paraId="61A9B4D9" w14:textId="77777777" w:rsidR="00D744F6" w:rsidRDefault="00D744F6" w:rsidP="000A7B3A">
            <w:pPr>
              <w:spacing w:before="9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631" w:type="dxa"/>
            <w:gridSpan w:val="2"/>
          </w:tcPr>
          <w:p w14:paraId="4CC451AA" w14:textId="77777777" w:rsidR="00C106CD" w:rsidRDefault="00642D3A" w:rsidP="00215478">
            <w:pPr>
              <w:spacing w:before="12" w:after="0" w:line="240" w:lineRule="auto"/>
              <w:ind w:right="-1081" w:hanging="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5478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C106CD">
              <w:rPr>
                <w:rFonts w:ascii="Arial" w:eastAsia="Arial" w:hAnsi="Arial" w:cs="Arial"/>
                <w:sz w:val="24"/>
                <w:szCs w:val="24"/>
              </w:rPr>
              <w:t xml:space="preserve">John Barbour, Senior Manager of Corporate Services at NHS </w:t>
            </w:r>
          </w:p>
          <w:p w14:paraId="468BC6CB" w14:textId="5FE9DCFA" w:rsidR="00D744F6" w:rsidRPr="00483E45" w:rsidRDefault="00C106CD" w:rsidP="00C106CD">
            <w:pPr>
              <w:spacing w:before="12" w:after="0" w:line="240" w:lineRule="auto"/>
              <w:ind w:right="-1081" w:firstLine="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Morecambe   Bay Clinical Commissioning Group</w:t>
            </w:r>
          </w:p>
        </w:tc>
      </w:tr>
      <w:tr w:rsidR="00D744F6" w14:paraId="2BCFB66A" w14:textId="77777777" w:rsidTr="00215478">
        <w:trPr>
          <w:gridAfter w:val="1"/>
          <w:wAfter w:w="1756" w:type="dxa"/>
          <w:trHeight w:val="113"/>
        </w:trPr>
        <w:tc>
          <w:tcPr>
            <w:tcW w:w="2330" w:type="dxa"/>
          </w:tcPr>
          <w:p w14:paraId="33BE21E9" w14:textId="77777777" w:rsidR="00D744F6" w:rsidRDefault="00D744F6" w:rsidP="000A7B3A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631" w:type="dxa"/>
            <w:gridSpan w:val="2"/>
          </w:tcPr>
          <w:p w14:paraId="2027A41D" w14:textId="2F4369F3" w:rsidR="00D744F6" w:rsidRDefault="00870289" w:rsidP="00EA3DE1">
            <w:pPr>
              <w:spacing w:before="10"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Karl Steel, karl.steel@nhs.net</w:t>
            </w:r>
          </w:p>
        </w:tc>
      </w:tr>
      <w:tr w:rsidR="00D744F6" w14:paraId="46D86049" w14:textId="77777777" w:rsidTr="00215478">
        <w:trPr>
          <w:gridAfter w:val="1"/>
          <w:wAfter w:w="1756" w:type="dxa"/>
          <w:trHeight w:val="80"/>
        </w:trPr>
        <w:tc>
          <w:tcPr>
            <w:tcW w:w="2330" w:type="dxa"/>
          </w:tcPr>
          <w:p w14:paraId="5A95DE18" w14:textId="77777777" w:rsidR="00D744F6" w:rsidRDefault="00D744F6" w:rsidP="000A7B3A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eferenc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631" w:type="dxa"/>
            <w:gridSpan w:val="2"/>
          </w:tcPr>
          <w:p w14:paraId="4276138A" w14:textId="261413EA" w:rsidR="00D744F6" w:rsidRDefault="00870289" w:rsidP="0096693C">
            <w:pPr>
              <w:spacing w:before="10"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2110-02</w:t>
            </w:r>
          </w:p>
        </w:tc>
      </w:tr>
      <w:tr w:rsidR="008A0848" w14:paraId="6BE786CB" w14:textId="77777777" w:rsidTr="00215478">
        <w:trPr>
          <w:trHeight w:val="120"/>
        </w:trPr>
        <w:tc>
          <w:tcPr>
            <w:tcW w:w="2859" w:type="dxa"/>
            <w:gridSpan w:val="2"/>
          </w:tcPr>
          <w:p w14:paraId="75F2B179" w14:textId="77777777" w:rsidR="008A0848" w:rsidRDefault="008A0848" w:rsidP="00E40063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</w:p>
        </w:tc>
        <w:tc>
          <w:tcPr>
            <w:tcW w:w="8858" w:type="dxa"/>
            <w:gridSpan w:val="2"/>
          </w:tcPr>
          <w:p w14:paraId="7A8F70CE" w14:textId="77777777" w:rsidR="008A0848" w:rsidRDefault="008A0848">
            <w:pPr>
              <w:spacing w:before="10"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0848" w14:paraId="3A2FAA41" w14:textId="77777777" w:rsidTr="00215478">
        <w:trPr>
          <w:trHeight w:val="120"/>
        </w:trPr>
        <w:tc>
          <w:tcPr>
            <w:tcW w:w="2859" w:type="dxa"/>
            <w:gridSpan w:val="2"/>
          </w:tcPr>
          <w:p w14:paraId="2C2B129B" w14:textId="77777777" w:rsidR="008A0848" w:rsidRDefault="008A0848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</w:p>
        </w:tc>
        <w:tc>
          <w:tcPr>
            <w:tcW w:w="8858" w:type="dxa"/>
            <w:gridSpan w:val="2"/>
          </w:tcPr>
          <w:p w14:paraId="0B759DB4" w14:textId="77777777" w:rsidR="008A0848" w:rsidRDefault="008A0848" w:rsidP="00303965">
            <w:pPr>
              <w:spacing w:before="1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A34B5D" w14:textId="77777777" w:rsidR="00727C0F" w:rsidRDefault="00727C0F">
      <w:pPr>
        <w:spacing w:before="5" w:after="0" w:line="28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036E13">
        <w:rPr>
          <w:sz w:val="28"/>
          <w:szCs w:val="28"/>
        </w:rPr>
        <w:t>_____________________________</w:t>
      </w:r>
    </w:p>
    <w:p w14:paraId="73EBBE37" w14:textId="77777777" w:rsidR="009E2F8E" w:rsidRDefault="009E2F8E" w:rsidP="00CC4ABC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05395C3" w14:textId="0770C413" w:rsidR="00CC4ABC" w:rsidRPr="00291F0C" w:rsidRDefault="00870289" w:rsidP="00CC4ABC">
      <w:pPr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t>GP practices in Morecambe Bay launch video offering helpful advice to patients</w:t>
      </w:r>
    </w:p>
    <w:p w14:paraId="4AD1B4BF" w14:textId="77777777" w:rsidR="00BB1ACE" w:rsidRDefault="00BB1ACE" w:rsidP="00BB1ACE">
      <w:pPr>
        <w:widowControl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5BFD10EF" w14:textId="3E638C63" w:rsidR="00C106CD" w:rsidRPr="003C3933" w:rsidRDefault="00870289" w:rsidP="00F948F9">
      <w:pPr>
        <w:jc w:val="both"/>
        <w:rPr>
          <w:rFonts w:ascii="Arial" w:hAnsi="Arial" w:cs="Arial"/>
        </w:rPr>
      </w:pPr>
      <w:bookmarkStart w:id="0" w:name="_Hlk47962058"/>
      <w:r w:rsidRPr="003C3933">
        <w:rPr>
          <w:rFonts w:ascii="Arial" w:hAnsi="Arial" w:cs="Arial"/>
        </w:rPr>
        <w:t>GPs and practice staff in Morecambe Bay have launched a video to address some of the pressures they are currently facing.</w:t>
      </w:r>
    </w:p>
    <w:p w14:paraId="0C0D7D6C" w14:textId="39DE77C1" w:rsidR="00870289" w:rsidRPr="003C3933" w:rsidRDefault="00870289" w:rsidP="00F948F9">
      <w:pPr>
        <w:jc w:val="both"/>
        <w:rPr>
          <w:rFonts w:ascii="Arial" w:hAnsi="Arial" w:cs="Arial"/>
        </w:rPr>
      </w:pPr>
      <w:r w:rsidRPr="003C3933">
        <w:rPr>
          <w:rFonts w:ascii="Arial" w:hAnsi="Arial" w:cs="Arial"/>
        </w:rPr>
        <w:t xml:space="preserve">The video, which was produced by Morecambe Bay CCG, offers helpful tips and advice to patients and members of the public </w:t>
      </w:r>
      <w:r w:rsidR="001C54B6" w:rsidRPr="003C3933">
        <w:rPr>
          <w:rFonts w:ascii="Arial" w:hAnsi="Arial" w:cs="Arial"/>
        </w:rPr>
        <w:t>on ways they can help ease the situation.</w:t>
      </w:r>
    </w:p>
    <w:p w14:paraId="078EE84B" w14:textId="03D5182C" w:rsidR="001056D1" w:rsidRDefault="003C3933" w:rsidP="00F948F9">
      <w:pPr>
        <w:widowControl/>
        <w:spacing w:after="0" w:line="240" w:lineRule="auto"/>
        <w:jc w:val="both"/>
        <w:rPr>
          <w:rFonts w:ascii="Arial" w:hAnsi="Arial" w:cs="Arial"/>
        </w:rPr>
      </w:pPr>
      <w:r w:rsidRPr="003C3933">
        <w:rPr>
          <w:rFonts w:ascii="Arial" w:hAnsi="Arial" w:cs="Arial"/>
        </w:rPr>
        <w:t xml:space="preserve">Dr </w:t>
      </w:r>
      <w:r w:rsidR="001056D1">
        <w:rPr>
          <w:rFonts w:ascii="Arial" w:hAnsi="Arial" w:cs="Arial"/>
        </w:rPr>
        <w:t xml:space="preserve">Paul Atkinson, one of the GPs who </w:t>
      </w:r>
      <w:r w:rsidR="007116C4">
        <w:rPr>
          <w:rFonts w:ascii="Arial" w:hAnsi="Arial" w:cs="Arial"/>
        </w:rPr>
        <w:t>took part</w:t>
      </w:r>
      <w:r w:rsidR="001056D1">
        <w:rPr>
          <w:rFonts w:ascii="Arial" w:hAnsi="Arial" w:cs="Arial"/>
        </w:rPr>
        <w:t xml:space="preserve"> in the video,</w:t>
      </w:r>
      <w:r w:rsidRPr="003C3933">
        <w:rPr>
          <w:rFonts w:ascii="Arial" w:hAnsi="Arial" w:cs="Arial"/>
        </w:rPr>
        <w:t xml:space="preserve"> said</w:t>
      </w:r>
      <w:r w:rsidRPr="001056D1">
        <w:rPr>
          <w:rFonts w:ascii="Arial" w:hAnsi="Arial" w:cs="Arial"/>
        </w:rPr>
        <w:t xml:space="preserve">: </w:t>
      </w:r>
      <w:r w:rsidR="001056D1" w:rsidRPr="001056D1">
        <w:rPr>
          <w:rFonts w:ascii="Arial" w:hAnsi="Arial" w:cs="Arial"/>
        </w:rPr>
        <w:t>“We wanted to try and convey a sense that we sincerely care,</w:t>
      </w:r>
      <w:r w:rsidR="001056D1">
        <w:rPr>
          <w:rFonts w:ascii="Arial" w:hAnsi="Arial" w:cs="Arial"/>
        </w:rPr>
        <w:t xml:space="preserve"> and that we</w:t>
      </w:r>
      <w:r w:rsidR="001056D1" w:rsidRPr="001056D1">
        <w:rPr>
          <w:rFonts w:ascii="Arial" w:hAnsi="Arial" w:cs="Arial"/>
        </w:rPr>
        <w:t xml:space="preserve"> are trying our best to improve the situation</w:t>
      </w:r>
      <w:r w:rsidR="001056D1">
        <w:rPr>
          <w:rFonts w:ascii="Arial" w:hAnsi="Arial" w:cs="Arial"/>
        </w:rPr>
        <w:t>.</w:t>
      </w:r>
    </w:p>
    <w:p w14:paraId="081F4C95" w14:textId="77777777" w:rsidR="001056D1" w:rsidRDefault="001056D1" w:rsidP="00F948F9">
      <w:pPr>
        <w:widowControl/>
        <w:spacing w:after="0" w:line="240" w:lineRule="auto"/>
        <w:jc w:val="both"/>
        <w:rPr>
          <w:rFonts w:ascii="Arial" w:hAnsi="Arial" w:cs="Arial"/>
        </w:rPr>
      </w:pPr>
    </w:p>
    <w:p w14:paraId="21AC71C6" w14:textId="1CA94998" w:rsidR="003C3933" w:rsidRDefault="001056D1" w:rsidP="00F948F9">
      <w:pPr>
        <w:widowControl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“The video</w:t>
      </w:r>
      <w:r w:rsidRPr="001056D1">
        <w:rPr>
          <w:rFonts w:ascii="Arial" w:hAnsi="Arial" w:cs="Arial"/>
        </w:rPr>
        <w:t xml:space="preserve"> give</w:t>
      </w:r>
      <w:r>
        <w:rPr>
          <w:rFonts w:ascii="Arial" w:hAnsi="Arial" w:cs="Arial"/>
        </w:rPr>
        <w:t>s</w:t>
      </w:r>
      <w:r w:rsidRPr="001056D1">
        <w:rPr>
          <w:rFonts w:ascii="Arial" w:hAnsi="Arial" w:cs="Arial"/>
        </w:rPr>
        <w:t xml:space="preserve"> an insight into how it is at the moment working in primary care and that </w:t>
      </w:r>
      <w:r>
        <w:rPr>
          <w:rFonts w:ascii="Arial" w:hAnsi="Arial" w:cs="Arial"/>
        </w:rPr>
        <w:t xml:space="preserve">we </w:t>
      </w:r>
      <w:r w:rsidRPr="001056D1">
        <w:rPr>
          <w:rFonts w:ascii="Arial" w:hAnsi="Arial" w:cs="Arial"/>
        </w:rPr>
        <w:t>are working hard on numerous fronts to make it easier to get help from your local practice.</w:t>
      </w:r>
      <w:r>
        <w:rPr>
          <w:rFonts w:ascii="Arial" w:hAnsi="Arial" w:cs="Arial"/>
        </w:rPr>
        <w:t>”</w:t>
      </w:r>
    </w:p>
    <w:p w14:paraId="2578FD86" w14:textId="77777777" w:rsidR="001056D1" w:rsidRPr="003C3933" w:rsidRDefault="001056D1" w:rsidP="00F948F9">
      <w:pPr>
        <w:widowControl/>
        <w:spacing w:after="0" w:line="240" w:lineRule="auto"/>
        <w:jc w:val="both"/>
        <w:rPr>
          <w:rFonts w:ascii="Arial" w:hAnsi="Arial" w:cs="Arial"/>
        </w:rPr>
      </w:pPr>
    </w:p>
    <w:p w14:paraId="29876156" w14:textId="5B4CC2F7" w:rsidR="003C3933" w:rsidRPr="001056D1" w:rsidRDefault="001C54B6" w:rsidP="00F948F9">
      <w:pPr>
        <w:jc w:val="both"/>
        <w:rPr>
          <w:rFonts w:ascii="Arial" w:hAnsi="Arial" w:cs="Arial"/>
        </w:rPr>
      </w:pPr>
      <w:r w:rsidRPr="001056D1">
        <w:rPr>
          <w:rFonts w:ascii="Arial" w:hAnsi="Arial" w:cs="Arial"/>
        </w:rPr>
        <w:t xml:space="preserve">Practices in Morecambe Bay are facing higher demand now than any prolonged period since appointment data started being recorded by Clinical Commissioning Groups in 2013. </w:t>
      </w:r>
      <w:r w:rsidR="003C3933" w:rsidRPr="001056D1">
        <w:rPr>
          <w:rFonts w:ascii="Arial" w:hAnsi="Arial" w:cs="Arial"/>
        </w:rPr>
        <w:t>The number of monthly GP appointments across Lancashire and South Cumbria in June this year was up by more than a quarter compared to February 2020</w:t>
      </w:r>
      <w:r w:rsidR="001056D1">
        <w:rPr>
          <w:rFonts w:ascii="Arial" w:hAnsi="Arial" w:cs="Arial"/>
        </w:rPr>
        <w:t xml:space="preserve">, </w:t>
      </w:r>
      <w:r w:rsidR="003C3933" w:rsidRPr="001056D1">
        <w:rPr>
          <w:rFonts w:ascii="Arial" w:hAnsi="Arial" w:cs="Arial"/>
        </w:rPr>
        <w:t xml:space="preserve">prior to the </w:t>
      </w:r>
      <w:r w:rsidR="001056D1">
        <w:rPr>
          <w:rFonts w:ascii="Arial" w:hAnsi="Arial" w:cs="Arial"/>
        </w:rPr>
        <w:t xml:space="preserve">coronavirus </w:t>
      </w:r>
      <w:r w:rsidR="003C3933" w:rsidRPr="001056D1">
        <w:rPr>
          <w:rFonts w:ascii="Arial" w:hAnsi="Arial" w:cs="Arial"/>
        </w:rPr>
        <w:t>pandemic striking</w:t>
      </w:r>
      <w:r w:rsidR="001056D1">
        <w:rPr>
          <w:rFonts w:ascii="Arial" w:hAnsi="Arial" w:cs="Arial"/>
        </w:rPr>
        <w:t>.</w:t>
      </w:r>
    </w:p>
    <w:p w14:paraId="784EDBF2" w14:textId="3EA4E74F" w:rsidR="003C3933" w:rsidRPr="001056D1" w:rsidRDefault="003C3933" w:rsidP="00F948F9">
      <w:pPr>
        <w:jc w:val="both"/>
        <w:rPr>
          <w:rFonts w:ascii="Arial" w:hAnsi="Arial" w:cs="Arial"/>
        </w:rPr>
      </w:pPr>
      <w:r w:rsidRPr="001056D1">
        <w:rPr>
          <w:rFonts w:ascii="Arial" w:hAnsi="Arial" w:cs="Arial"/>
        </w:rPr>
        <w:t>Typically</w:t>
      </w:r>
      <w:r w:rsidR="00F948F9">
        <w:rPr>
          <w:rFonts w:ascii="Arial" w:hAnsi="Arial" w:cs="Arial"/>
        </w:rPr>
        <w:t>,</w:t>
      </w:r>
      <w:r w:rsidRPr="001056D1">
        <w:rPr>
          <w:rFonts w:ascii="Arial" w:hAnsi="Arial" w:cs="Arial"/>
        </w:rPr>
        <w:t xml:space="preserve"> appointments take longer due to infection prevention control measures in </w:t>
      </w:r>
      <w:proofErr w:type="gramStart"/>
      <w:r w:rsidRPr="001056D1">
        <w:rPr>
          <w:rFonts w:ascii="Arial" w:hAnsi="Arial" w:cs="Arial"/>
        </w:rPr>
        <w:t>place</w:t>
      </w:r>
      <w:proofErr w:type="gramEnd"/>
      <w:r w:rsidRPr="001056D1">
        <w:rPr>
          <w:rFonts w:ascii="Arial" w:hAnsi="Arial" w:cs="Arial"/>
        </w:rPr>
        <w:t xml:space="preserve"> so practices have introduced lots of innovations to help reduce the demand, and for some patients a phone or video consultation is absolutely the best and most practical option. </w:t>
      </w:r>
    </w:p>
    <w:p w14:paraId="51C0DBED" w14:textId="77777777" w:rsidR="001056D1" w:rsidRDefault="003C3933" w:rsidP="00F948F9">
      <w:pPr>
        <w:jc w:val="both"/>
        <w:rPr>
          <w:rFonts w:ascii="Arial" w:hAnsi="Arial" w:cs="Arial"/>
        </w:rPr>
      </w:pPr>
      <w:r w:rsidRPr="001056D1">
        <w:rPr>
          <w:rFonts w:ascii="Arial" w:hAnsi="Arial" w:cs="Arial"/>
        </w:rPr>
        <w:t>The new video</w:t>
      </w:r>
      <w:r w:rsidR="001056D1" w:rsidRPr="001056D1">
        <w:rPr>
          <w:rFonts w:ascii="Arial" w:hAnsi="Arial" w:cs="Arial"/>
        </w:rPr>
        <w:t>, which can be viewed on the NHS Morecambe Bay CCG YouTube channel</w:t>
      </w:r>
      <w:r w:rsidR="001056D1">
        <w:rPr>
          <w:rFonts w:ascii="Arial" w:hAnsi="Arial" w:cs="Arial"/>
        </w:rPr>
        <w:t>, also advises booking appointments and ordering repeat prescriptions online, as well as asking patients to be kind to staff – all messages that GPs and practice staff were keen to include.</w:t>
      </w:r>
    </w:p>
    <w:p w14:paraId="2014DEA5" w14:textId="77777777" w:rsidR="002D6B5D" w:rsidRDefault="001056D1" w:rsidP="00F94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 Atkinson, who is a GP at the James Cochrane Practice in Kendal, added: “</w:t>
      </w:r>
      <w:r w:rsidRPr="0056737F">
        <w:rPr>
          <w:rFonts w:ascii="Arial" w:hAnsi="Arial" w:cs="Arial"/>
        </w:rPr>
        <w:t xml:space="preserve">Recent months have seen an unprecedented increase in calls to </w:t>
      </w:r>
      <w:r w:rsidR="002D6B5D">
        <w:rPr>
          <w:rFonts w:ascii="Arial" w:hAnsi="Arial" w:cs="Arial"/>
        </w:rPr>
        <w:t>our</w:t>
      </w:r>
      <w:r w:rsidRPr="0056737F">
        <w:rPr>
          <w:rFonts w:ascii="Arial" w:hAnsi="Arial" w:cs="Arial"/>
        </w:rPr>
        <w:t xml:space="preserve"> practice for medical help. We are receiving over a third more calls this year than previously with the same staff. </w:t>
      </w:r>
    </w:p>
    <w:p w14:paraId="441CB426" w14:textId="77777777" w:rsidR="002D6B5D" w:rsidRPr="002D6B5D" w:rsidRDefault="002D6B5D" w:rsidP="00F948F9">
      <w:pPr>
        <w:jc w:val="both"/>
        <w:rPr>
          <w:rFonts w:ascii="Arial" w:hAnsi="Arial" w:cs="Arial"/>
        </w:rPr>
      </w:pPr>
    </w:p>
    <w:p w14:paraId="72E3009F" w14:textId="61DC6A38" w:rsidR="001056D1" w:rsidRPr="002D6B5D" w:rsidRDefault="002D6B5D" w:rsidP="00F948F9">
      <w:pPr>
        <w:jc w:val="both"/>
        <w:rPr>
          <w:rFonts w:ascii="Arial" w:hAnsi="Arial" w:cs="Arial"/>
        </w:rPr>
      </w:pPr>
      <w:r w:rsidRPr="002D6B5D">
        <w:rPr>
          <w:rFonts w:ascii="Arial" w:hAnsi="Arial" w:cs="Arial"/>
        </w:rPr>
        <w:t>“</w:t>
      </w:r>
      <w:r w:rsidR="001056D1" w:rsidRPr="002D6B5D">
        <w:rPr>
          <w:rFonts w:ascii="Arial" w:hAnsi="Arial" w:cs="Arial"/>
        </w:rPr>
        <w:t>We always aim to help as many people as possible</w:t>
      </w:r>
      <w:r w:rsidR="00F948F9">
        <w:rPr>
          <w:rFonts w:ascii="Arial" w:hAnsi="Arial" w:cs="Arial"/>
        </w:rPr>
        <w:t>,</w:t>
      </w:r>
      <w:r w:rsidR="001056D1" w:rsidRPr="002D6B5D">
        <w:rPr>
          <w:rFonts w:ascii="Arial" w:hAnsi="Arial" w:cs="Arial"/>
        </w:rPr>
        <w:t xml:space="preserve"> though achieving this safely continues to be our biggest challenge. It is difficult to get more clinicians quickly</w:t>
      </w:r>
      <w:r w:rsidR="00F948F9">
        <w:rPr>
          <w:rFonts w:ascii="Arial" w:hAnsi="Arial" w:cs="Arial"/>
        </w:rPr>
        <w:t>,</w:t>
      </w:r>
      <w:r w:rsidR="001056D1" w:rsidRPr="002D6B5D">
        <w:rPr>
          <w:rFonts w:ascii="Arial" w:hAnsi="Arial" w:cs="Arial"/>
        </w:rPr>
        <w:t xml:space="preserve"> but steps are being taken to increase capacity such as removing the need to triage every appointment, adding more clinics and we are actively recruiting. </w:t>
      </w:r>
    </w:p>
    <w:p w14:paraId="366A1999" w14:textId="0CCC209E" w:rsidR="001C54B6" w:rsidRDefault="002D6B5D" w:rsidP="00F948F9">
      <w:pPr>
        <w:widowControl/>
        <w:spacing w:after="0" w:line="240" w:lineRule="auto"/>
        <w:jc w:val="both"/>
      </w:pPr>
      <w:r w:rsidRPr="002D6B5D">
        <w:rPr>
          <w:rFonts w:ascii="Arial" w:hAnsi="Arial" w:cs="Arial"/>
        </w:rPr>
        <w:t>“It is important for patients to know t</w:t>
      </w:r>
      <w:r w:rsidRPr="002D6B5D">
        <w:rPr>
          <w:rFonts w:ascii="Arial" w:eastAsia="Times New Roman" w:hAnsi="Arial" w:cs="Arial"/>
        </w:rPr>
        <w:t>hat we remain open for business, we are seeing people face-to-face and still offer a variety of consultation types which are available with a wide number of clinicians.”</w:t>
      </w:r>
    </w:p>
    <w:p w14:paraId="071878A7" w14:textId="77777777" w:rsidR="00870289" w:rsidRDefault="00870289" w:rsidP="00F948F9">
      <w:pPr>
        <w:jc w:val="both"/>
        <w:rPr>
          <w:rFonts w:ascii="Arial" w:hAnsi="Arial" w:cs="Arial"/>
        </w:rPr>
      </w:pPr>
    </w:p>
    <w:p w14:paraId="5C66A79F" w14:textId="77777777" w:rsidR="00C106CD" w:rsidRDefault="00C106CD" w:rsidP="00F948F9">
      <w:pPr>
        <w:widowControl/>
        <w:spacing w:after="0" w:line="240" w:lineRule="auto"/>
        <w:jc w:val="both"/>
        <w:rPr>
          <w:rFonts w:ascii="Arial" w:hAnsi="Arial" w:cs="Arial"/>
        </w:rPr>
      </w:pPr>
    </w:p>
    <w:p w14:paraId="388AEE24" w14:textId="354969A5" w:rsidR="00AF2E90" w:rsidRPr="003352B1" w:rsidRDefault="00AF2E90" w:rsidP="00F948F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3352B1">
        <w:rPr>
          <w:rFonts w:ascii="Arial" w:eastAsia="Calibri" w:hAnsi="Arial" w:cs="Arial"/>
          <w:b/>
          <w:sz w:val="24"/>
          <w:szCs w:val="24"/>
          <w:lang w:val="en-GB"/>
        </w:rPr>
        <w:t xml:space="preserve">Ends </w:t>
      </w:r>
    </w:p>
    <w:p w14:paraId="3061DAF0" w14:textId="18CEE724" w:rsidR="00334B31" w:rsidRDefault="00334B31" w:rsidP="00F948F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54860D38" w14:textId="35B5FF93" w:rsidR="00C864FA" w:rsidRDefault="00C864FA" w:rsidP="00F948F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5607951D" w14:textId="77777777" w:rsidR="00C864FA" w:rsidRDefault="00C864FA" w:rsidP="00F948F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0C5712A4" w14:textId="77777777" w:rsidR="00C73DEE" w:rsidRPr="003352B1" w:rsidRDefault="00C73DEE" w:rsidP="00F948F9">
      <w:pPr>
        <w:widowControl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bookmarkEnd w:id="0"/>
    <w:p w14:paraId="3648ED64" w14:textId="0E0C175B" w:rsidR="00215478" w:rsidRDefault="00215478" w:rsidP="00F948F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Notes for Editors:</w:t>
      </w:r>
    </w:p>
    <w:p w14:paraId="00E8BC41" w14:textId="3CF793D0" w:rsidR="002D6B5D" w:rsidRDefault="002D6B5D" w:rsidP="00F948F9">
      <w:pPr>
        <w:jc w:val="both"/>
        <w:rPr>
          <w:rFonts w:ascii="Arial" w:hAnsi="Arial" w:cs="Arial"/>
          <w:b/>
          <w:bCs/>
        </w:rPr>
      </w:pPr>
    </w:p>
    <w:p w14:paraId="00EE5866" w14:textId="403A0244" w:rsidR="002D6B5D" w:rsidRPr="002D6B5D" w:rsidRDefault="002D6B5D" w:rsidP="00F948F9">
      <w:pPr>
        <w:jc w:val="both"/>
        <w:rPr>
          <w:rFonts w:ascii="Arial" w:hAnsi="Arial" w:cs="Arial"/>
        </w:rPr>
      </w:pPr>
      <w:r w:rsidRPr="002D6B5D">
        <w:rPr>
          <w:rFonts w:ascii="Arial" w:hAnsi="Arial" w:cs="Arial"/>
        </w:rPr>
        <w:t>‘A Day in the Life of a GP Practice’ can be viewed at the NHS Morecambe Bay CCG YouTube channel here: https://www.youtube.com/watch?v=v4NivuOcSZ4</w:t>
      </w:r>
    </w:p>
    <w:p w14:paraId="609C25DE" w14:textId="566AE7A8" w:rsidR="00215478" w:rsidRPr="00215478" w:rsidRDefault="00215478" w:rsidP="00F94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“Commissioning” is a term the NHS uses to describe the planning and buying of healthcare services. </w:t>
      </w:r>
    </w:p>
    <w:p w14:paraId="0773B5AB" w14:textId="5E45EB0D" w:rsidR="00215478" w:rsidRDefault="00215478" w:rsidP="00F948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Commissioning Groups (CCGs) </w:t>
      </w:r>
      <w:r>
        <w:rPr>
          <w:rFonts w:ascii="Arial" w:hAnsi="Arial" w:cs="Arial"/>
        </w:rPr>
        <w:t xml:space="preserve">commission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hospital, community services and GP services for the communities they serve. They came into operation in April 2013 and are led by local GPs and managers. </w:t>
      </w:r>
    </w:p>
    <w:p w14:paraId="33B9036B" w14:textId="73F2F02D" w:rsidR="002246C8" w:rsidRPr="00215478" w:rsidRDefault="00215478" w:rsidP="00F948F9">
      <w:pPr>
        <w:jc w:val="both"/>
        <w:rPr>
          <w:rFonts w:ascii="Calibri" w:hAnsi="Calibri" w:cs="Calibri"/>
        </w:rPr>
      </w:pPr>
      <w:r>
        <w:rPr>
          <w:rFonts w:ascii="Arial" w:hAnsi="Arial" w:cs="Arial"/>
          <w:b/>
          <w:bCs/>
        </w:rPr>
        <w:t xml:space="preserve">NHS England is responsible for the commissioning of services in England. </w:t>
      </w:r>
      <w:r>
        <w:rPr>
          <w:rFonts w:ascii="Arial" w:hAnsi="Arial" w:cs="Arial"/>
        </w:rPr>
        <w:t xml:space="preserve">NHS England shares out more than £100 billion in funds each year, much of it to CCGs. It holds these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to account for spending this money effectively for patients and efficiently for the </w:t>
      </w:r>
      <w:proofErr w:type="gramStart"/>
      <w:r>
        <w:rPr>
          <w:rFonts w:ascii="Arial" w:hAnsi="Arial" w:cs="Arial"/>
        </w:rPr>
        <w:t>tax payer</w:t>
      </w:r>
      <w:proofErr w:type="gramEnd"/>
      <w:r>
        <w:rPr>
          <w:rFonts w:ascii="Arial" w:hAnsi="Arial" w:cs="Arial"/>
        </w:rPr>
        <w:t xml:space="preserve">. NHS England is also responsible for commissioning </w:t>
      </w:r>
      <w:proofErr w:type="spellStart"/>
      <w:r>
        <w:rPr>
          <w:rFonts w:ascii="Arial" w:hAnsi="Arial" w:cs="Arial"/>
        </w:rPr>
        <w:t>specialised</w:t>
      </w:r>
      <w:proofErr w:type="spellEnd"/>
      <w:r>
        <w:rPr>
          <w:rFonts w:ascii="Arial" w:hAnsi="Arial" w:cs="Arial"/>
        </w:rPr>
        <w:t xml:space="preserve"> health services, dentist, </w:t>
      </w:r>
      <w:proofErr w:type="gramStart"/>
      <w:r>
        <w:rPr>
          <w:rFonts w:ascii="Arial" w:hAnsi="Arial" w:cs="Arial"/>
        </w:rPr>
        <w:t>pharmacist</w:t>
      </w:r>
      <w:proofErr w:type="gramEnd"/>
      <w:r>
        <w:rPr>
          <w:rFonts w:ascii="Arial" w:hAnsi="Arial" w:cs="Arial"/>
        </w:rPr>
        <w:t xml:space="preserve"> and optometrist services along with some public health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including cancer screening and vaccination and </w:t>
      </w:r>
      <w:proofErr w:type="spellStart"/>
      <w:r>
        <w:rPr>
          <w:rFonts w:ascii="Arial" w:hAnsi="Arial" w:cs="Arial"/>
        </w:rPr>
        <w:t>immunisation</w:t>
      </w:r>
      <w:proofErr w:type="spellEnd"/>
      <w:r>
        <w:rPr>
          <w:rFonts w:ascii="Arial" w:hAnsi="Arial" w:cs="Arial"/>
        </w:rPr>
        <w:t>; and responsibilities such as safeguarding.</w:t>
      </w:r>
    </w:p>
    <w:sectPr w:rsidR="002246C8" w:rsidRPr="00215478" w:rsidSect="00036E13">
      <w:headerReference w:type="default" r:id="rId12"/>
      <w:type w:val="continuous"/>
      <w:pgSz w:w="11900" w:h="16860"/>
      <w:pgMar w:top="794" w:right="1268" w:bottom="1219" w:left="1134" w:header="72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3361" w14:textId="77777777" w:rsidR="00FE3F12" w:rsidRDefault="00FE3F12">
      <w:pPr>
        <w:spacing w:after="0" w:line="240" w:lineRule="auto"/>
      </w:pPr>
      <w:r>
        <w:separator/>
      </w:r>
    </w:p>
  </w:endnote>
  <w:endnote w:type="continuationSeparator" w:id="0">
    <w:p w14:paraId="4FDF43EF" w14:textId="77777777" w:rsidR="00FE3F12" w:rsidRDefault="00FE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B912" w14:textId="77777777" w:rsidR="00FE3F12" w:rsidRDefault="00FE3F12">
      <w:pPr>
        <w:spacing w:after="0" w:line="240" w:lineRule="auto"/>
      </w:pPr>
      <w:r>
        <w:separator/>
      </w:r>
    </w:p>
  </w:footnote>
  <w:footnote w:type="continuationSeparator" w:id="0">
    <w:p w14:paraId="054B5F24" w14:textId="77777777" w:rsidR="00FE3F12" w:rsidRDefault="00FE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EFE7" w14:textId="77777777" w:rsidR="0039433C" w:rsidRDefault="0039433C" w:rsidP="0039433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78A4F15" wp14:editId="60088B21">
          <wp:extent cx="2654840" cy="1047750"/>
          <wp:effectExtent l="0" t="0" r="0" b="0"/>
          <wp:docPr id="6" name="Picture 6" descr="C:\Users\Maureen.Harrison\AppData\Local\Microsoft\Windows\Temporary Internet Files\Content.Outlook\E7WS3KAK\NHS Morcambe Bay CCG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een.Harrison\AppData\Local\Microsoft\Windows\Temporary Internet Files\Content.Outlook\E7WS3KAK\NHS Morcambe Bay CCG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04" cy="104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47B76" w14:textId="77777777" w:rsidR="0039433C" w:rsidRDefault="0039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FC0"/>
    <w:multiLevelType w:val="hybridMultilevel"/>
    <w:tmpl w:val="3434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65C"/>
    <w:multiLevelType w:val="hybridMultilevel"/>
    <w:tmpl w:val="CE6A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F15"/>
    <w:multiLevelType w:val="hybridMultilevel"/>
    <w:tmpl w:val="4060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55C"/>
    <w:multiLevelType w:val="multilevel"/>
    <w:tmpl w:val="AAFA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20EA0"/>
    <w:multiLevelType w:val="hybridMultilevel"/>
    <w:tmpl w:val="8C62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E1B01"/>
    <w:multiLevelType w:val="hybridMultilevel"/>
    <w:tmpl w:val="51FA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8D56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717E"/>
    <w:multiLevelType w:val="hybridMultilevel"/>
    <w:tmpl w:val="80AE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3DB2"/>
    <w:multiLevelType w:val="multilevel"/>
    <w:tmpl w:val="4190B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7291C"/>
    <w:multiLevelType w:val="hybridMultilevel"/>
    <w:tmpl w:val="AE40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2E26"/>
    <w:multiLevelType w:val="multilevel"/>
    <w:tmpl w:val="2D765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C5F3E"/>
    <w:multiLevelType w:val="hybridMultilevel"/>
    <w:tmpl w:val="1636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166DE"/>
    <w:multiLevelType w:val="hybridMultilevel"/>
    <w:tmpl w:val="5974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D3A"/>
    <w:multiLevelType w:val="hybridMultilevel"/>
    <w:tmpl w:val="1A382824"/>
    <w:lvl w:ilvl="0" w:tplc="8CBEEE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23384"/>
    <w:multiLevelType w:val="hybridMultilevel"/>
    <w:tmpl w:val="13B4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1455"/>
    <w:multiLevelType w:val="hybridMultilevel"/>
    <w:tmpl w:val="4F6E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48"/>
    <w:rsid w:val="00021E6C"/>
    <w:rsid w:val="0002373E"/>
    <w:rsid w:val="00024558"/>
    <w:rsid w:val="00036E13"/>
    <w:rsid w:val="00053C89"/>
    <w:rsid w:val="0005407F"/>
    <w:rsid w:val="0007315F"/>
    <w:rsid w:val="00074D80"/>
    <w:rsid w:val="00077FF2"/>
    <w:rsid w:val="00093DD9"/>
    <w:rsid w:val="0009591A"/>
    <w:rsid w:val="000A60CC"/>
    <w:rsid w:val="000B1E43"/>
    <w:rsid w:val="000C30AA"/>
    <w:rsid w:val="000C5A46"/>
    <w:rsid w:val="000C68F4"/>
    <w:rsid w:val="000C78B1"/>
    <w:rsid w:val="000E4CD5"/>
    <w:rsid w:val="001056D1"/>
    <w:rsid w:val="0014100E"/>
    <w:rsid w:val="00142FC6"/>
    <w:rsid w:val="00146976"/>
    <w:rsid w:val="0016571D"/>
    <w:rsid w:val="00165D20"/>
    <w:rsid w:val="00170936"/>
    <w:rsid w:val="00193394"/>
    <w:rsid w:val="001A1E40"/>
    <w:rsid w:val="001C1AE7"/>
    <w:rsid w:val="001C54B6"/>
    <w:rsid w:val="001D1095"/>
    <w:rsid w:val="001D1AFA"/>
    <w:rsid w:val="001E3687"/>
    <w:rsid w:val="001F34D5"/>
    <w:rsid w:val="001F56E1"/>
    <w:rsid w:val="0020017A"/>
    <w:rsid w:val="00202E0C"/>
    <w:rsid w:val="00215478"/>
    <w:rsid w:val="00216C38"/>
    <w:rsid w:val="002246C8"/>
    <w:rsid w:val="00225BC0"/>
    <w:rsid w:val="0023017B"/>
    <w:rsid w:val="0024378A"/>
    <w:rsid w:val="002547BA"/>
    <w:rsid w:val="00261722"/>
    <w:rsid w:val="00272E8C"/>
    <w:rsid w:val="0029708D"/>
    <w:rsid w:val="002B38AB"/>
    <w:rsid w:val="002B550D"/>
    <w:rsid w:val="002D6B5D"/>
    <w:rsid w:val="002D75D3"/>
    <w:rsid w:val="002E0F0C"/>
    <w:rsid w:val="002E4F42"/>
    <w:rsid w:val="002E7635"/>
    <w:rsid w:val="002F6932"/>
    <w:rsid w:val="00303965"/>
    <w:rsid w:val="00303A91"/>
    <w:rsid w:val="00311001"/>
    <w:rsid w:val="0031671A"/>
    <w:rsid w:val="00327866"/>
    <w:rsid w:val="00334B31"/>
    <w:rsid w:val="003352B1"/>
    <w:rsid w:val="003413A1"/>
    <w:rsid w:val="003603A9"/>
    <w:rsid w:val="0039433C"/>
    <w:rsid w:val="003A7DBF"/>
    <w:rsid w:val="003B1F07"/>
    <w:rsid w:val="003C3933"/>
    <w:rsid w:val="003E59F7"/>
    <w:rsid w:val="003F1097"/>
    <w:rsid w:val="004167ED"/>
    <w:rsid w:val="004328E8"/>
    <w:rsid w:val="00446824"/>
    <w:rsid w:val="004521EC"/>
    <w:rsid w:val="00455512"/>
    <w:rsid w:val="004604FC"/>
    <w:rsid w:val="004622CA"/>
    <w:rsid w:val="00483E45"/>
    <w:rsid w:val="004A6D59"/>
    <w:rsid w:val="004B48C2"/>
    <w:rsid w:val="004C2B3D"/>
    <w:rsid w:val="004E169F"/>
    <w:rsid w:val="004E606B"/>
    <w:rsid w:val="004F473B"/>
    <w:rsid w:val="00500632"/>
    <w:rsid w:val="005307BE"/>
    <w:rsid w:val="00530FCC"/>
    <w:rsid w:val="00542BE9"/>
    <w:rsid w:val="00553278"/>
    <w:rsid w:val="00555553"/>
    <w:rsid w:val="00567EA1"/>
    <w:rsid w:val="00575D33"/>
    <w:rsid w:val="00580DE9"/>
    <w:rsid w:val="005878F7"/>
    <w:rsid w:val="00595568"/>
    <w:rsid w:val="005A552B"/>
    <w:rsid w:val="005A65F2"/>
    <w:rsid w:val="005B4855"/>
    <w:rsid w:val="005D1B35"/>
    <w:rsid w:val="005D2EB1"/>
    <w:rsid w:val="005F2829"/>
    <w:rsid w:val="005F36F6"/>
    <w:rsid w:val="005F39BB"/>
    <w:rsid w:val="00627926"/>
    <w:rsid w:val="00634D59"/>
    <w:rsid w:val="0064107B"/>
    <w:rsid w:val="00642D3A"/>
    <w:rsid w:val="0067744B"/>
    <w:rsid w:val="006976C7"/>
    <w:rsid w:val="006A2ACB"/>
    <w:rsid w:val="006A374C"/>
    <w:rsid w:val="006D5D53"/>
    <w:rsid w:val="006E16ED"/>
    <w:rsid w:val="006F280A"/>
    <w:rsid w:val="006F392A"/>
    <w:rsid w:val="006F68FC"/>
    <w:rsid w:val="00702ADF"/>
    <w:rsid w:val="0070506B"/>
    <w:rsid w:val="007116C4"/>
    <w:rsid w:val="00727C0F"/>
    <w:rsid w:val="00744327"/>
    <w:rsid w:val="00746030"/>
    <w:rsid w:val="00774483"/>
    <w:rsid w:val="00782156"/>
    <w:rsid w:val="00782694"/>
    <w:rsid w:val="007D09B8"/>
    <w:rsid w:val="007F5A40"/>
    <w:rsid w:val="00803D22"/>
    <w:rsid w:val="008160BF"/>
    <w:rsid w:val="00820DE7"/>
    <w:rsid w:val="00837DAA"/>
    <w:rsid w:val="0084205E"/>
    <w:rsid w:val="00853B1E"/>
    <w:rsid w:val="00857FAF"/>
    <w:rsid w:val="00870289"/>
    <w:rsid w:val="008750FD"/>
    <w:rsid w:val="00877737"/>
    <w:rsid w:val="00880AD2"/>
    <w:rsid w:val="00880CA6"/>
    <w:rsid w:val="008951ED"/>
    <w:rsid w:val="008A0848"/>
    <w:rsid w:val="008B0C87"/>
    <w:rsid w:val="008B53B8"/>
    <w:rsid w:val="008C0501"/>
    <w:rsid w:val="008D18EC"/>
    <w:rsid w:val="008D3490"/>
    <w:rsid w:val="008E167B"/>
    <w:rsid w:val="008F1802"/>
    <w:rsid w:val="00906C8C"/>
    <w:rsid w:val="009249BA"/>
    <w:rsid w:val="00925353"/>
    <w:rsid w:val="00932138"/>
    <w:rsid w:val="009571A7"/>
    <w:rsid w:val="009571C3"/>
    <w:rsid w:val="0096693C"/>
    <w:rsid w:val="00974CA3"/>
    <w:rsid w:val="0099367F"/>
    <w:rsid w:val="009A6474"/>
    <w:rsid w:val="009D497A"/>
    <w:rsid w:val="009E2F8E"/>
    <w:rsid w:val="009E73C0"/>
    <w:rsid w:val="009F14A1"/>
    <w:rsid w:val="009F7AF1"/>
    <w:rsid w:val="00A1777E"/>
    <w:rsid w:val="00A21E44"/>
    <w:rsid w:val="00A44545"/>
    <w:rsid w:val="00A4585F"/>
    <w:rsid w:val="00A517E4"/>
    <w:rsid w:val="00A6061D"/>
    <w:rsid w:val="00A63878"/>
    <w:rsid w:val="00A64D39"/>
    <w:rsid w:val="00A65E05"/>
    <w:rsid w:val="00A66FD3"/>
    <w:rsid w:val="00A74936"/>
    <w:rsid w:val="00A959BA"/>
    <w:rsid w:val="00AD15B8"/>
    <w:rsid w:val="00AF2E90"/>
    <w:rsid w:val="00B06B72"/>
    <w:rsid w:val="00B15F95"/>
    <w:rsid w:val="00B207EB"/>
    <w:rsid w:val="00B30D71"/>
    <w:rsid w:val="00B30FF0"/>
    <w:rsid w:val="00B36BE0"/>
    <w:rsid w:val="00B54748"/>
    <w:rsid w:val="00B73E13"/>
    <w:rsid w:val="00B878A1"/>
    <w:rsid w:val="00B948F1"/>
    <w:rsid w:val="00BB1ACE"/>
    <w:rsid w:val="00BB6998"/>
    <w:rsid w:val="00BC6E21"/>
    <w:rsid w:val="00BE0D88"/>
    <w:rsid w:val="00BE7BE0"/>
    <w:rsid w:val="00BF00EF"/>
    <w:rsid w:val="00C034E1"/>
    <w:rsid w:val="00C07684"/>
    <w:rsid w:val="00C106CD"/>
    <w:rsid w:val="00C30820"/>
    <w:rsid w:val="00C345A5"/>
    <w:rsid w:val="00C504EC"/>
    <w:rsid w:val="00C56B80"/>
    <w:rsid w:val="00C57E3E"/>
    <w:rsid w:val="00C6576A"/>
    <w:rsid w:val="00C73DEE"/>
    <w:rsid w:val="00C82750"/>
    <w:rsid w:val="00C864FA"/>
    <w:rsid w:val="00C87B9B"/>
    <w:rsid w:val="00C9304D"/>
    <w:rsid w:val="00CA043D"/>
    <w:rsid w:val="00CB6CF2"/>
    <w:rsid w:val="00CC4635"/>
    <w:rsid w:val="00CC4ABC"/>
    <w:rsid w:val="00CD4AF4"/>
    <w:rsid w:val="00CE70AE"/>
    <w:rsid w:val="00D149FA"/>
    <w:rsid w:val="00D17A34"/>
    <w:rsid w:val="00D50F7E"/>
    <w:rsid w:val="00D62BEC"/>
    <w:rsid w:val="00D744F6"/>
    <w:rsid w:val="00D8339F"/>
    <w:rsid w:val="00D8578D"/>
    <w:rsid w:val="00D95501"/>
    <w:rsid w:val="00D96863"/>
    <w:rsid w:val="00DB57E7"/>
    <w:rsid w:val="00DC2483"/>
    <w:rsid w:val="00DC4EE1"/>
    <w:rsid w:val="00DE0261"/>
    <w:rsid w:val="00DE7219"/>
    <w:rsid w:val="00E3411C"/>
    <w:rsid w:val="00E40063"/>
    <w:rsid w:val="00E51659"/>
    <w:rsid w:val="00E712CF"/>
    <w:rsid w:val="00E753E4"/>
    <w:rsid w:val="00E76F0E"/>
    <w:rsid w:val="00EA3DE1"/>
    <w:rsid w:val="00EA4E0D"/>
    <w:rsid w:val="00ED3C7A"/>
    <w:rsid w:val="00EF44B3"/>
    <w:rsid w:val="00F040D1"/>
    <w:rsid w:val="00F47270"/>
    <w:rsid w:val="00F761F7"/>
    <w:rsid w:val="00F948F9"/>
    <w:rsid w:val="00FC36A2"/>
    <w:rsid w:val="00FC37FE"/>
    <w:rsid w:val="00FE3F12"/>
    <w:rsid w:val="00FE4D4B"/>
    <w:rsid w:val="00FE5D1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1C80"/>
  <w15:docId w15:val="{17877D80-A355-4B3E-A7DC-91ACD071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C0F"/>
    <w:pPr>
      <w:widowControl/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C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21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21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A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5D33"/>
    <w:pPr>
      <w:widowControl/>
      <w:ind w:left="720"/>
      <w:contextualSpacing/>
    </w:pPr>
    <w:rPr>
      <w:lang w:val="en-GB"/>
    </w:rPr>
  </w:style>
  <w:style w:type="paragraph" w:customStyle="1" w:styleId="Newsreleasebodytext">
    <w:name w:val="News release bodytext"/>
    <w:basedOn w:val="Normal"/>
    <w:qFormat/>
    <w:rsid w:val="006A374C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/>
      <w:color w:val="000000" w:themeColor="text1"/>
      <w:lang w:val="en-GB" w:eastAsia="en-GB"/>
    </w:rPr>
  </w:style>
  <w:style w:type="paragraph" w:customStyle="1" w:styleId="Default">
    <w:name w:val="Default"/>
    <w:rsid w:val="006A374C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33C"/>
  </w:style>
  <w:style w:type="paragraph" w:styleId="Footer">
    <w:name w:val="footer"/>
    <w:basedOn w:val="Normal"/>
    <w:link w:val="FooterChar"/>
    <w:uiPriority w:val="99"/>
    <w:unhideWhenUsed/>
    <w:rsid w:val="0039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33C"/>
  </w:style>
  <w:style w:type="character" w:styleId="Emphasis">
    <w:name w:val="Emphasis"/>
    <w:basedOn w:val="DefaultParagraphFont"/>
    <w:uiPriority w:val="20"/>
    <w:qFormat/>
    <w:rsid w:val="00782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9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b9faf-e485-43ba-9767-f211651fe416">COMENG-1141879345-127143</_dlc_DocId>
    <_dlc_DocIdUrl xmlns="d06b9faf-e485-43ba-9767-f211651fe416">
      <Url>https://csucloudservices.sharepoint.com/teams/comms/_layouts/15/DocIdRedir.aspx?ID=COMENG-1141879345-127143</Url>
      <Description>COMENG-1141879345-127143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9587D5124AE4A8923840A1360559F" ma:contentTypeVersion="1598" ma:contentTypeDescription="Create a new document." ma:contentTypeScope="" ma:versionID="6e91a442f5088f863d81053fb11c2d90">
  <xsd:schema xmlns:xsd="http://www.w3.org/2001/XMLSchema" xmlns:xs="http://www.w3.org/2001/XMLSchema" xmlns:p="http://schemas.microsoft.com/office/2006/metadata/properties" xmlns:ns2="d06b9faf-e485-43ba-9767-f211651fe416" xmlns:ns3="33f243a6-a9ab-46b5-a218-b583843b2a81" targetNamespace="http://schemas.microsoft.com/office/2006/metadata/properties" ma:root="true" ma:fieldsID="8ffac7899977d0ce8c75761f6c2ae905" ns2:_="" ns3:_="">
    <xsd:import namespace="d06b9faf-e485-43ba-9767-f211651fe416"/>
    <xsd:import namespace="33f243a6-a9ab-46b5-a218-b583843b2a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9faf-e485-43ba-9767-f211651fe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43a6-a9ab-46b5-a218-b583843b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8316-9FBA-4CF5-921D-48DE283A053A}">
  <ds:schemaRefs>
    <ds:schemaRef ds:uri="http://schemas.microsoft.com/office/2006/metadata/properties"/>
    <ds:schemaRef ds:uri="http://schemas.microsoft.com/office/infopath/2007/PartnerControls"/>
    <ds:schemaRef ds:uri="d06b9faf-e485-43ba-9767-f211651fe416"/>
  </ds:schemaRefs>
</ds:datastoreItem>
</file>

<file path=customXml/itemProps2.xml><?xml version="1.0" encoding="utf-8"?>
<ds:datastoreItem xmlns:ds="http://schemas.openxmlformats.org/officeDocument/2006/customXml" ds:itemID="{AE2EA48F-10D3-4C91-882D-2733DD73D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A6F5C-EC4C-48E2-A9A6-9712F8D853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6A43A6-1BAB-47F2-A91B-ACED82BB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b9faf-e485-43ba-9767-f211651fe416"/>
    <ds:schemaRef ds:uri="33f243a6-a9ab-46b5-a218-b583843b2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B1D423-B338-49CD-B72C-B4D8BE8D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Karl Steel (MLCSU)</cp:lastModifiedBy>
  <cp:revision>4</cp:revision>
  <cp:lastPrinted>2018-08-08T11:51:00Z</cp:lastPrinted>
  <dcterms:created xsi:type="dcterms:W3CDTF">2021-10-21T09:27:00Z</dcterms:created>
  <dcterms:modified xsi:type="dcterms:W3CDTF">2021-10-21T10:58:00Z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2016-06-28T00:00:00Z</vt:filetime>
  </property>
  <property fmtid="{D5CDD505-2E9C-101B-9397-08002B2CF9AE}" pid="4" name="ContentTypeId">
    <vt:lpwstr>0x010100BCD9587D5124AE4A8923840A1360559F</vt:lpwstr>
  </property>
  <property fmtid="{D5CDD505-2E9C-101B-9397-08002B2CF9AE}" pid="5" name="_dlc_DocIdItemGuid">
    <vt:lpwstr>204e9229-c404-4e41-8f5b-cc0b316036f8</vt:lpwstr>
  </property>
</Properties>
</file>