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6EE4" w14:textId="1DC19C92" w:rsidR="00D61561" w:rsidRDefault="003E0156" w:rsidP="00D61561">
      <w:pPr>
        <w:jc w:val="center"/>
        <w:rPr>
          <w:u w:val="single"/>
        </w:rPr>
      </w:pPr>
      <w:r w:rsidRPr="003E0156">
        <w:rPr>
          <w:u w:val="single"/>
        </w:rPr>
        <w:t xml:space="preserve">Case study </w:t>
      </w:r>
      <w:r w:rsidR="00CC3071">
        <w:rPr>
          <w:u w:val="single"/>
        </w:rPr>
        <w:t>discussion</w:t>
      </w:r>
      <w:r w:rsidRPr="003E0156">
        <w:rPr>
          <w:u w:val="single"/>
        </w:rPr>
        <w:t xml:space="preserve">- End of </w:t>
      </w:r>
      <w:r w:rsidR="00CC3071">
        <w:rPr>
          <w:u w:val="single"/>
        </w:rPr>
        <w:t>l</w:t>
      </w:r>
      <w:r w:rsidRPr="003E0156">
        <w:rPr>
          <w:u w:val="single"/>
        </w:rPr>
        <w:t xml:space="preserve">ife </w:t>
      </w:r>
      <w:r w:rsidR="00CC3071">
        <w:rPr>
          <w:u w:val="single"/>
        </w:rPr>
        <w:t>c</w:t>
      </w:r>
      <w:r w:rsidRPr="003E0156">
        <w:rPr>
          <w:u w:val="single"/>
        </w:rPr>
        <w:t>are and dignity</w:t>
      </w:r>
    </w:p>
    <w:p w14:paraId="5ECD43F1" w14:textId="03B45BCE" w:rsidR="003E0156" w:rsidRPr="003E0156" w:rsidRDefault="003E0156" w:rsidP="003E0156">
      <w:pPr>
        <w:spacing w:after="0"/>
        <w:jc w:val="center"/>
        <w:rPr>
          <w:i/>
          <w:iCs/>
          <w:sz w:val="20"/>
          <w:szCs w:val="20"/>
        </w:rPr>
      </w:pPr>
    </w:p>
    <w:p w14:paraId="0D7BE06D" w14:textId="77777777" w:rsidR="003E0156" w:rsidRPr="003E0156" w:rsidRDefault="003E0156" w:rsidP="003E0156">
      <w:pPr>
        <w:spacing w:after="0"/>
        <w:rPr>
          <w:i/>
          <w:iCs/>
          <w:sz w:val="20"/>
          <w:szCs w:val="20"/>
        </w:rPr>
      </w:pPr>
      <w:r w:rsidRPr="003E0156">
        <w:rPr>
          <w:i/>
          <w:iCs/>
          <w:sz w:val="20"/>
          <w:szCs w:val="20"/>
        </w:rPr>
        <w:t>Mavis is an 89 year old lady who is being reviewed by her GP for exacerbation of her COPD.  She is currently semi-conscious.  Mavis is cared for in a nursing home. Her daughter lives 80 miles away and no other relatives live close by.  Her medical notes record that a DNAR is in place and Mavis has signed an advance directive in 2017 saying that she would not under any circumstances want to die in hospital  but would prefer to die in the residential home if she becomes seriously ill.</w:t>
      </w:r>
    </w:p>
    <w:tbl>
      <w:tblPr>
        <w:tblStyle w:val="TableGrid"/>
        <w:tblW w:w="0" w:type="auto"/>
        <w:tblLook w:val="04A0" w:firstRow="1" w:lastRow="0" w:firstColumn="1" w:lastColumn="0" w:noHBand="0" w:noVBand="1"/>
      </w:tblPr>
      <w:tblGrid>
        <w:gridCol w:w="4508"/>
        <w:gridCol w:w="4508"/>
      </w:tblGrid>
      <w:tr w:rsidR="00D22880" w14:paraId="5D0FD83D" w14:textId="77777777" w:rsidTr="00D22880">
        <w:tc>
          <w:tcPr>
            <w:tcW w:w="4508" w:type="dxa"/>
          </w:tcPr>
          <w:p w14:paraId="5952CA69" w14:textId="77777777" w:rsidR="00D22880" w:rsidRPr="00D22880" w:rsidRDefault="00D22880" w:rsidP="00D22880">
            <w:pPr>
              <w:rPr>
                <w:i/>
                <w:iCs/>
                <w:sz w:val="20"/>
                <w:szCs w:val="20"/>
              </w:rPr>
            </w:pPr>
            <w:r w:rsidRPr="00D22880">
              <w:rPr>
                <w:i/>
                <w:iCs/>
                <w:sz w:val="20"/>
                <w:szCs w:val="20"/>
              </w:rPr>
              <w:t xml:space="preserve">Current medical history                                                                                   </w:t>
            </w:r>
          </w:p>
          <w:p w14:paraId="582C02C6" w14:textId="77777777" w:rsidR="00D22880" w:rsidRPr="00D22880" w:rsidRDefault="00D22880" w:rsidP="00D22880">
            <w:pPr>
              <w:rPr>
                <w:i/>
                <w:iCs/>
                <w:sz w:val="20"/>
                <w:szCs w:val="20"/>
              </w:rPr>
            </w:pPr>
            <w:r w:rsidRPr="00D22880">
              <w:rPr>
                <w:i/>
                <w:iCs/>
                <w:sz w:val="20"/>
                <w:szCs w:val="20"/>
              </w:rPr>
              <w:t>Type 2 diabetes</w:t>
            </w:r>
          </w:p>
          <w:p w14:paraId="2B733D99" w14:textId="77777777" w:rsidR="00D22880" w:rsidRPr="00D22880" w:rsidRDefault="00D22880" w:rsidP="00D22880">
            <w:pPr>
              <w:rPr>
                <w:i/>
                <w:iCs/>
                <w:sz w:val="20"/>
                <w:szCs w:val="20"/>
              </w:rPr>
            </w:pPr>
            <w:r w:rsidRPr="00D22880">
              <w:rPr>
                <w:i/>
                <w:iCs/>
                <w:sz w:val="20"/>
                <w:szCs w:val="20"/>
              </w:rPr>
              <w:t>On NovoMix 30 BD  8 units AM 4 Units PM , Sitagliptin 50 mgs OD</w:t>
            </w:r>
          </w:p>
          <w:p w14:paraId="7F0EDDFC" w14:textId="77777777" w:rsidR="00D22880" w:rsidRPr="00D22880" w:rsidRDefault="00D22880" w:rsidP="00D22880">
            <w:pPr>
              <w:rPr>
                <w:i/>
                <w:iCs/>
                <w:sz w:val="20"/>
                <w:szCs w:val="20"/>
              </w:rPr>
            </w:pPr>
            <w:r w:rsidRPr="00D22880">
              <w:rPr>
                <w:i/>
                <w:iCs/>
                <w:sz w:val="20"/>
                <w:szCs w:val="20"/>
              </w:rPr>
              <w:t>Partially sighted</w:t>
            </w:r>
          </w:p>
          <w:p w14:paraId="786710B8" w14:textId="77777777" w:rsidR="00D22880" w:rsidRPr="00D22880" w:rsidRDefault="00D22880" w:rsidP="00D22880">
            <w:pPr>
              <w:rPr>
                <w:i/>
                <w:iCs/>
                <w:sz w:val="20"/>
                <w:szCs w:val="20"/>
              </w:rPr>
            </w:pPr>
            <w:r w:rsidRPr="00D22880">
              <w:rPr>
                <w:i/>
                <w:iCs/>
                <w:sz w:val="20"/>
                <w:szCs w:val="20"/>
              </w:rPr>
              <w:t>Chronic obstructive pulmonary disease</w:t>
            </w:r>
          </w:p>
          <w:p w14:paraId="24F94C92" w14:textId="77777777" w:rsidR="00D22880" w:rsidRPr="00D22880" w:rsidRDefault="00D22880" w:rsidP="00D22880">
            <w:pPr>
              <w:rPr>
                <w:i/>
                <w:iCs/>
                <w:sz w:val="20"/>
                <w:szCs w:val="20"/>
              </w:rPr>
            </w:pPr>
            <w:r w:rsidRPr="00D22880">
              <w:rPr>
                <w:i/>
                <w:iCs/>
                <w:sz w:val="20"/>
                <w:szCs w:val="20"/>
              </w:rPr>
              <w:t>Ischaemic heart disease</w:t>
            </w:r>
          </w:p>
          <w:p w14:paraId="0AFB3BE8" w14:textId="77777777" w:rsidR="00D22880" w:rsidRPr="00D22880" w:rsidRDefault="00D22880" w:rsidP="00D22880">
            <w:pPr>
              <w:rPr>
                <w:i/>
                <w:iCs/>
                <w:sz w:val="20"/>
                <w:szCs w:val="20"/>
              </w:rPr>
            </w:pPr>
            <w:r w:rsidRPr="00D22880">
              <w:rPr>
                <w:i/>
                <w:iCs/>
                <w:sz w:val="20"/>
                <w:szCs w:val="20"/>
              </w:rPr>
              <w:t>Peripheral neuropathy</w:t>
            </w:r>
          </w:p>
          <w:p w14:paraId="20802350" w14:textId="6335F5F7" w:rsidR="00D22880" w:rsidRDefault="00D22880" w:rsidP="00D22880">
            <w:pPr>
              <w:rPr>
                <w:i/>
                <w:iCs/>
                <w:sz w:val="20"/>
                <w:szCs w:val="20"/>
              </w:rPr>
            </w:pPr>
            <w:r w:rsidRPr="00D22880">
              <w:rPr>
                <w:i/>
                <w:iCs/>
                <w:sz w:val="20"/>
                <w:szCs w:val="20"/>
              </w:rPr>
              <w:t>Severe dementia (Alzheimer’s)</w:t>
            </w:r>
          </w:p>
        </w:tc>
        <w:tc>
          <w:tcPr>
            <w:tcW w:w="4508" w:type="dxa"/>
          </w:tcPr>
          <w:p w14:paraId="17C1E655" w14:textId="77777777" w:rsidR="00D22880" w:rsidRPr="00D22880" w:rsidRDefault="00D22880" w:rsidP="00D22880">
            <w:pPr>
              <w:rPr>
                <w:i/>
                <w:iCs/>
                <w:sz w:val="20"/>
                <w:szCs w:val="20"/>
              </w:rPr>
            </w:pPr>
            <w:r w:rsidRPr="00D22880">
              <w:rPr>
                <w:i/>
                <w:iCs/>
                <w:sz w:val="20"/>
                <w:szCs w:val="20"/>
              </w:rPr>
              <w:t>Clinical data</w:t>
            </w:r>
          </w:p>
          <w:p w14:paraId="04AE0939" w14:textId="77777777" w:rsidR="00D22880" w:rsidRPr="00D22880" w:rsidRDefault="00D22880" w:rsidP="00D22880">
            <w:pPr>
              <w:rPr>
                <w:i/>
                <w:iCs/>
                <w:sz w:val="20"/>
                <w:szCs w:val="20"/>
              </w:rPr>
            </w:pPr>
            <w:r w:rsidRPr="00D22880">
              <w:rPr>
                <w:i/>
                <w:iCs/>
                <w:sz w:val="20"/>
                <w:szCs w:val="20"/>
              </w:rPr>
              <w:t>Respiration rate 28</w:t>
            </w:r>
          </w:p>
          <w:p w14:paraId="23A487FB" w14:textId="77777777" w:rsidR="00D22880" w:rsidRPr="00D22880" w:rsidRDefault="00D22880" w:rsidP="00D22880">
            <w:pPr>
              <w:rPr>
                <w:i/>
                <w:iCs/>
                <w:sz w:val="20"/>
                <w:szCs w:val="20"/>
              </w:rPr>
            </w:pPr>
            <w:r w:rsidRPr="00D22880">
              <w:rPr>
                <w:i/>
                <w:iCs/>
                <w:sz w:val="20"/>
                <w:szCs w:val="20"/>
              </w:rPr>
              <w:t xml:space="preserve">Heart rate, 83 </w:t>
            </w:r>
          </w:p>
          <w:p w14:paraId="7A016B77" w14:textId="77777777" w:rsidR="00D22880" w:rsidRPr="00D22880" w:rsidRDefault="00D22880" w:rsidP="00D22880">
            <w:pPr>
              <w:rPr>
                <w:i/>
                <w:iCs/>
                <w:sz w:val="20"/>
                <w:szCs w:val="20"/>
              </w:rPr>
            </w:pPr>
            <w:r w:rsidRPr="00D22880">
              <w:rPr>
                <w:i/>
                <w:iCs/>
                <w:sz w:val="20"/>
                <w:szCs w:val="20"/>
              </w:rPr>
              <w:t>BP 131/62</w:t>
            </w:r>
          </w:p>
          <w:p w14:paraId="2384B8C8" w14:textId="77777777" w:rsidR="00D22880" w:rsidRPr="00D22880" w:rsidRDefault="00D22880" w:rsidP="00D22880">
            <w:pPr>
              <w:rPr>
                <w:i/>
                <w:iCs/>
                <w:sz w:val="20"/>
                <w:szCs w:val="20"/>
              </w:rPr>
            </w:pPr>
            <w:r w:rsidRPr="00D22880">
              <w:rPr>
                <w:i/>
                <w:iCs/>
                <w:sz w:val="20"/>
                <w:szCs w:val="20"/>
              </w:rPr>
              <w:t>Temp 37.2 centigrade.</w:t>
            </w:r>
          </w:p>
          <w:p w14:paraId="35B19092" w14:textId="77777777" w:rsidR="00D22880" w:rsidRPr="00D22880" w:rsidRDefault="00D22880" w:rsidP="00D22880">
            <w:pPr>
              <w:rPr>
                <w:i/>
                <w:iCs/>
                <w:sz w:val="20"/>
                <w:szCs w:val="20"/>
              </w:rPr>
            </w:pPr>
            <w:r w:rsidRPr="00D22880">
              <w:rPr>
                <w:i/>
                <w:iCs/>
                <w:sz w:val="20"/>
                <w:szCs w:val="20"/>
              </w:rPr>
              <w:t>Blood glucose 6.6 mmol/l @ 1500 hours</w:t>
            </w:r>
          </w:p>
          <w:p w14:paraId="7804088D" w14:textId="77777777" w:rsidR="00D22880" w:rsidRPr="00D22880" w:rsidRDefault="00D22880" w:rsidP="00D22880">
            <w:pPr>
              <w:rPr>
                <w:i/>
                <w:iCs/>
                <w:sz w:val="20"/>
                <w:szCs w:val="20"/>
              </w:rPr>
            </w:pPr>
            <w:r w:rsidRPr="00D22880">
              <w:rPr>
                <w:i/>
                <w:iCs/>
                <w:sz w:val="20"/>
                <w:szCs w:val="20"/>
              </w:rPr>
              <w:t>HbA1c 47 mmol/L</w:t>
            </w:r>
          </w:p>
          <w:p w14:paraId="6ED784D5" w14:textId="4DC90F6B" w:rsidR="00D22880" w:rsidRDefault="00D22880" w:rsidP="00D22880">
            <w:pPr>
              <w:rPr>
                <w:i/>
                <w:iCs/>
                <w:sz w:val="20"/>
                <w:szCs w:val="20"/>
              </w:rPr>
            </w:pPr>
            <w:r w:rsidRPr="00D22880">
              <w:rPr>
                <w:i/>
                <w:iCs/>
                <w:sz w:val="20"/>
                <w:szCs w:val="20"/>
              </w:rPr>
              <w:t>eGFR 28mls/min</w:t>
            </w:r>
          </w:p>
        </w:tc>
      </w:tr>
    </w:tbl>
    <w:p w14:paraId="645D7369" w14:textId="77777777" w:rsidR="003E0156" w:rsidRPr="003E0156" w:rsidRDefault="003E0156" w:rsidP="003E0156">
      <w:pPr>
        <w:spacing w:after="0"/>
        <w:rPr>
          <w:i/>
          <w:iCs/>
          <w:sz w:val="20"/>
          <w:szCs w:val="20"/>
        </w:rPr>
      </w:pPr>
    </w:p>
    <w:p w14:paraId="3932ACDA" w14:textId="0BEFE66B" w:rsidR="003E0156" w:rsidRDefault="003E0156" w:rsidP="003E0156">
      <w:pPr>
        <w:spacing w:after="0"/>
        <w:rPr>
          <w:i/>
          <w:iCs/>
          <w:sz w:val="20"/>
          <w:szCs w:val="20"/>
        </w:rPr>
      </w:pPr>
      <w:r w:rsidRPr="003E0156">
        <w:rPr>
          <w:i/>
          <w:iCs/>
          <w:sz w:val="20"/>
          <w:szCs w:val="20"/>
        </w:rPr>
        <w:t>Please review this case and develop a management plan for Mavis taking into account her holistic needs and choices</w:t>
      </w:r>
      <w:r w:rsidR="00D22880">
        <w:rPr>
          <w:i/>
          <w:iCs/>
          <w:sz w:val="20"/>
          <w:szCs w:val="20"/>
        </w:rPr>
        <w:t>.</w:t>
      </w:r>
    </w:p>
    <w:p w14:paraId="221A40D4" w14:textId="77777777" w:rsidR="003E0156" w:rsidRPr="003E0156" w:rsidRDefault="003E0156" w:rsidP="003E0156">
      <w:pPr>
        <w:spacing w:after="0"/>
        <w:rPr>
          <w:i/>
          <w:iCs/>
          <w:sz w:val="20"/>
          <w:szCs w:val="20"/>
        </w:rPr>
      </w:pPr>
    </w:p>
    <w:p w14:paraId="32314A09" w14:textId="77777777" w:rsidR="003E0156" w:rsidRPr="003E0156" w:rsidRDefault="003E0156" w:rsidP="003E0156">
      <w:pPr>
        <w:pStyle w:val="z-TopofForm"/>
        <w:spacing w:line="360" w:lineRule="auto"/>
        <w:rPr>
          <w:rFonts w:asciiTheme="minorHAnsi" w:hAnsiTheme="minorHAnsi" w:cstheme="minorHAnsi"/>
          <w:sz w:val="22"/>
          <w:szCs w:val="22"/>
        </w:rPr>
      </w:pPr>
      <w:r w:rsidRPr="003E0156">
        <w:rPr>
          <w:rFonts w:asciiTheme="minorHAnsi" w:hAnsiTheme="minorHAnsi" w:cstheme="minorHAnsi"/>
          <w:sz w:val="22"/>
          <w:szCs w:val="22"/>
        </w:rPr>
        <w:t>Top of Form</w:t>
      </w:r>
    </w:p>
    <w:p w14:paraId="27F1FACF" w14:textId="52E55ADE" w:rsidR="003E0156" w:rsidRPr="003E0156" w:rsidRDefault="003E0156" w:rsidP="003E0156">
      <w:pPr>
        <w:pStyle w:val="NormalWeb"/>
        <w:spacing w:before="0" w:beforeAutospacing="0" w:after="0" w:afterAutospacing="0" w:line="360" w:lineRule="auto"/>
        <w:rPr>
          <w:rFonts w:asciiTheme="minorHAnsi" w:hAnsiTheme="minorHAnsi" w:cstheme="minorHAnsi"/>
          <w:color w:val="000000"/>
          <w:sz w:val="22"/>
          <w:szCs w:val="22"/>
        </w:rPr>
      </w:pPr>
      <w:r w:rsidRPr="003E0156">
        <w:rPr>
          <w:rFonts w:asciiTheme="minorHAnsi" w:hAnsiTheme="minorHAnsi" w:cstheme="minorHAnsi"/>
          <w:color w:val="000000"/>
          <w:sz w:val="22"/>
          <w:szCs w:val="22"/>
          <w:bdr w:val="none" w:sz="0" w:space="0" w:color="auto" w:frame="1"/>
        </w:rPr>
        <w:t>On review of this case, it is clear that Mavis and her family have had extensive discussions regarding her care and health decisions, by the presence of the advanced directive (and DNAR status) as this is a legally binding document that clearly states the wants and wishes of the individual and their family in regard to their health (NHS, 2020). In this document Mavis had made it very clear that she did not want to die in hospital however, it may be pertinent to discuss requirements for active treatment (i.e. requirement for fluid supplementation) with her daughter. According to the end-of-life clinical care recommendations (General Medical Council, 2010), Mavis is likely to have reached the end stages of life. She has multiple co-morbidities with incurable prognosis and clearly, her presenting condition at the time of review demonstrates deterioration. If we were to use the 3 steps assessment laid out in the Gold standards framework proactive identification guidance (Royal College of general practitioners, 20</w:t>
      </w:r>
      <w:r w:rsidR="005713C9">
        <w:rPr>
          <w:rFonts w:asciiTheme="minorHAnsi" w:hAnsiTheme="minorHAnsi" w:cstheme="minorHAnsi"/>
          <w:color w:val="000000"/>
          <w:sz w:val="22"/>
          <w:szCs w:val="22"/>
          <w:bdr w:val="none" w:sz="0" w:space="0" w:color="auto" w:frame="1"/>
        </w:rPr>
        <w:t>22</w:t>
      </w:r>
      <w:r w:rsidRPr="003E0156">
        <w:rPr>
          <w:rFonts w:asciiTheme="minorHAnsi" w:hAnsiTheme="minorHAnsi" w:cstheme="minorHAnsi"/>
          <w:color w:val="000000"/>
          <w:sz w:val="22"/>
          <w:szCs w:val="22"/>
          <w:bdr w:val="none" w:sz="0" w:space="0" w:color="auto" w:frame="1"/>
        </w:rPr>
        <w:t>) for the end-of-life care to assess her, the answer to the “surprise question” is likely to be yes. Her physical and functional decline and increased dependence for care demonstrated in her declining conscious level would indicate she also met stage 2 of the assessment. Her dementia status (Alzheimer’s Society, 2021) and declining renal function (eGFR 28mls/min) would also indicate an adherence to the stage 3 criteria. Whilst her clinical observations are not overly abnormal there are subtle indicators that she is struggling (elevated respiratory rate (although her bassline may be high as she has COPD), slightly elevated B/P, and low-grade temperature). Her Blood glucose remains within the national target of 6-15mmol/l (DUK, 2018</w:t>
      </w:r>
      <w:r>
        <w:rPr>
          <w:rFonts w:asciiTheme="minorHAnsi" w:hAnsiTheme="minorHAnsi" w:cstheme="minorHAnsi"/>
          <w:color w:val="000000"/>
          <w:sz w:val="22"/>
          <w:szCs w:val="22"/>
          <w:bdr w:val="none" w:sz="0" w:space="0" w:color="auto" w:frame="1"/>
        </w:rPr>
        <w:t>, Trend 2021</w:t>
      </w:r>
      <w:r w:rsidRPr="003E0156">
        <w:rPr>
          <w:rFonts w:asciiTheme="minorHAnsi" w:hAnsiTheme="minorHAnsi" w:cstheme="minorHAnsi"/>
          <w:color w:val="000000"/>
          <w:sz w:val="22"/>
          <w:szCs w:val="22"/>
          <w:bdr w:val="none" w:sz="0" w:space="0" w:color="auto" w:frame="1"/>
        </w:rPr>
        <w:t xml:space="preserve">). However, her Hba1c (47mmol/mol) indicates very tight control and indicated a risk of </w:t>
      </w:r>
      <w:r w:rsidR="00DB7150" w:rsidRPr="003E0156">
        <w:rPr>
          <w:rFonts w:asciiTheme="minorHAnsi" w:hAnsiTheme="minorHAnsi" w:cstheme="minorHAnsi"/>
          <w:color w:val="000000"/>
          <w:sz w:val="22"/>
          <w:szCs w:val="22"/>
          <w:bdr w:val="none" w:sz="0" w:space="0" w:color="auto" w:frame="1"/>
        </w:rPr>
        <w:t>hypoglycaemia</w:t>
      </w:r>
      <w:r w:rsidRPr="003E0156">
        <w:rPr>
          <w:rFonts w:asciiTheme="minorHAnsi" w:hAnsiTheme="minorHAnsi" w:cstheme="minorHAnsi"/>
          <w:color w:val="000000"/>
          <w:sz w:val="22"/>
          <w:szCs w:val="22"/>
          <w:bdr w:val="none" w:sz="0" w:space="0" w:color="auto" w:frame="1"/>
        </w:rPr>
        <w:t xml:space="preserve">, this, coupled with a reduced conscious level and likely impact on oral intake and renal status would indicate a need to reduce/ withdraw the anti-diabetes medications and consider </w:t>
      </w:r>
      <w:r w:rsidRPr="003E0156">
        <w:rPr>
          <w:rFonts w:asciiTheme="minorHAnsi" w:hAnsiTheme="minorHAnsi" w:cstheme="minorHAnsi"/>
          <w:color w:val="000000"/>
          <w:sz w:val="22"/>
          <w:szCs w:val="22"/>
          <w:bdr w:val="none" w:sz="0" w:space="0" w:color="auto" w:frame="1"/>
        </w:rPr>
        <w:lastRenderedPageBreak/>
        <w:t>hydration in order to reduce osmotic symptoms (Crasto, Jervis and Davies, 2016). This is also in keeping with the algorithm for the last days of life (</w:t>
      </w:r>
      <w:r>
        <w:rPr>
          <w:rFonts w:asciiTheme="minorHAnsi" w:hAnsiTheme="minorHAnsi" w:cstheme="minorHAnsi"/>
          <w:color w:val="000000"/>
          <w:sz w:val="22"/>
          <w:szCs w:val="22"/>
          <w:bdr w:val="none" w:sz="0" w:space="0" w:color="auto" w:frame="1"/>
        </w:rPr>
        <w:t>Trend 2021</w:t>
      </w:r>
      <w:r w:rsidRPr="003E0156">
        <w:rPr>
          <w:rFonts w:asciiTheme="minorHAnsi" w:hAnsiTheme="minorHAnsi" w:cstheme="minorHAnsi"/>
          <w:color w:val="000000"/>
          <w:sz w:val="22"/>
          <w:szCs w:val="22"/>
          <w:bdr w:val="none" w:sz="0" w:space="0" w:color="auto" w:frame="1"/>
        </w:rPr>
        <w:t>). This algorithm indicates the need to observe for signs of hypo/</w:t>
      </w:r>
      <w:r w:rsidR="00DB7150" w:rsidRPr="003E0156">
        <w:rPr>
          <w:rFonts w:asciiTheme="minorHAnsi" w:hAnsiTheme="minorHAnsi" w:cstheme="minorHAnsi"/>
          <w:color w:val="000000"/>
          <w:sz w:val="22"/>
          <w:szCs w:val="22"/>
          <w:bdr w:val="none" w:sz="0" w:space="0" w:color="auto" w:frame="1"/>
        </w:rPr>
        <w:t>hyperglycaemia</w:t>
      </w:r>
      <w:r w:rsidRPr="003E0156">
        <w:rPr>
          <w:rFonts w:asciiTheme="minorHAnsi" w:hAnsiTheme="minorHAnsi" w:cstheme="minorHAnsi"/>
          <w:color w:val="000000"/>
          <w:sz w:val="22"/>
          <w:szCs w:val="22"/>
          <w:bdr w:val="none" w:sz="0" w:space="0" w:color="auto" w:frame="1"/>
        </w:rPr>
        <w:t xml:space="preserve"> and suggests testing urine for glucose above finger stick monitoring, to reduce any discomfort caused by finger stick testing (unless absolutely necessary). The DUK (2018) documents also suggests the use of a freestyle Libre here may also alleviate the need for capillary blood glucose testing and would allow more frequent testing, although dehydration may affect the accuracy of the results (Abbott, 2021). The end-of-life guidance also highlights the need for competency and integrated approaches to provide the best quality care, therefore indicating a need for DSN referral (and other HCP’s) to support the staff in the home.  The staff at the home will also require education regarding skincare/ protection; especially as she already has neuropathy, likely vascular compromise, and tissue perfusion concerns with COPD (Cole and Coe, 2020) and the appropriate management of hypo/</w:t>
      </w:r>
      <w:r w:rsidR="00B3586E" w:rsidRPr="003E0156">
        <w:rPr>
          <w:rFonts w:asciiTheme="minorHAnsi" w:hAnsiTheme="minorHAnsi" w:cstheme="minorHAnsi"/>
          <w:color w:val="000000"/>
          <w:sz w:val="22"/>
          <w:szCs w:val="22"/>
          <w:bdr w:val="none" w:sz="0" w:space="0" w:color="auto" w:frame="1"/>
        </w:rPr>
        <w:t>hyperglycaemia</w:t>
      </w:r>
      <w:r w:rsidRPr="003E0156">
        <w:rPr>
          <w:rFonts w:asciiTheme="minorHAnsi" w:hAnsiTheme="minorHAnsi" w:cstheme="minorHAnsi"/>
          <w:color w:val="000000"/>
          <w:sz w:val="22"/>
          <w:szCs w:val="22"/>
          <w:bdr w:val="none" w:sz="0" w:space="0" w:color="auto" w:frame="1"/>
        </w:rPr>
        <w:t>.</w:t>
      </w:r>
    </w:p>
    <w:p w14:paraId="420DCC00" w14:textId="77777777" w:rsidR="003E0156" w:rsidRDefault="003E0156" w:rsidP="003E0156">
      <w:pPr>
        <w:pStyle w:val="NormalWeb"/>
        <w:spacing w:before="0" w:beforeAutospacing="0" w:after="0" w:afterAutospacing="0" w:line="360" w:lineRule="auto"/>
        <w:rPr>
          <w:rFonts w:asciiTheme="minorHAnsi" w:hAnsiTheme="minorHAnsi" w:cstheme="minorHAnsi"/>
          <w:color w:val="000000"/>
          <w:sz w:val="22"/>
          <w:szCs w:val="22"/>
          <w:bdr w:val="none" w:sz="0" w:space="0" w:color="auto" w:frame="1"/>
        </w:rPr>
      </w:pPr>
    </w:p>
    <w:p w14:paraId="1679768C" w14:textId="28CE388E" w:rsidR="003E0156" w:rsidRPr="003E0156" w:rsidRDefault="003E0156" w:rsidP="003E0156">
      <w:pPr>
        <w:pStyle w:val="NormalWeb"/>
        <w:spacing w:before="0" w:beforeAutospacing="0" w:after="0" w:afterAutospacing="0" w:line="360" w:lineRule="auto"/>
        <w:rPr>
          <w:rFonts w:asciiTheme="minorHAnsi" w:hAnsiTheme="minorHAnsi" w:cstheme="minorHAnsi"/>
          <w:color w:val="000000"/>
          <w:sz w:val="22"/>
          <w:szCs w:val="22"/>
          <w:u w:val="single"/>
          <w:bdr w:val="none" w:sz="0" w:space="0" w:color="auto" w:frame="1"/>
        </w:rPr>
      </w:pPr>
      <w:r w:rsidRPr="003E0156">
        <w:rPr>
          <w:rFonts w:asciiTheme="minorHAnsi" w:hAnsiTheme="minorHAnsi" w:cstheme="minorHAnsi"/>
          <w:color w:val="000000"/>
          <w:sz w:val="22"/>
          <w:szCs w:val="22"/>
          <w:u w:val="single"/>
          <w:bdr w:val="none" w:sz="0" w:space="0" w:color="auto" w:frame="1"/>
        </w:rPr>
        <w:t>References</w:t>
      </w:r>
    </w:p>
    <w:p w14:paraId="31085029" w14:textId="797D9FBF" w:rsidR="00C54D09" w:rsidRPr="00842F3B" w:rsidRDefault="003E0156" w:rsidP="009F1A87">
      <w:pPr>
        <w:pStyle w:val="NormalWeb"/>
        <w:numPr>
          <w:ilvl w:val="0"/>
          <w:numId w:val="3"/>
        </w:numPr>
        <w:spacing w:before="0" w:beforeAutospacing="0" w:after="0" w:afterAutospacing="0" w:line="360" w:lineRule="auto"/>
        <w:rPr>
          <w:rFonts w:asciiTheme="minorHAnsi" w:hAnsiTheme="minorHAnsi" w:cstheme="minorHAnsi"/>
          <w:color w:val="000000"/>
          <w:sz w:val="22"/>
          <w:szCs w:val="22"/>
          <w:bdr w:val="none" w:sz="0" w:space="0" w:color="auto" w:frame="1"/>
        </w:rPr>
      </w:pPr>
      <w:r w:rsidRPr="003E0156">
        <w:rPr>
          <w:rFonts w:asciiTheme="minorHAnsi" w:hAnsiTheme="minorHAnsi" w:cstheme="minorHAnsi"/>
          <w:color w:val="000000"/>
          <w:sz w:val="22"/>
          <w:szCs w:val="22"/>
          <w:bdr w:val="none" w:sz="0" w:space="0" w:color="auto" w:frame="1"/>
        </w:rPr>
        <w:t>Abbott (2</w:t>
      </w:r>
      <w:r>
        <w:rPr>
          <w:rFonts w:asciiTheme="minorHAnsi" w:hAnsiTheme="minorHAnsi" w:cstheme="minorHAnsi"/>
          <w:color w:val="000000"/>
          <w:sz w:val="22"/>
          <w:szCs w:val="22"/>
          <w:bdr w:val="none" w:sz="0" w:space="0" w:color="auto" w:frame="1"/>
        </w:rPr>
        <w:t>0</w:t>
      </w:r>
      <w:r w:rsidRPr="003E0156">
        <w:rPr>
          <w:rFonts w:asciiTheme="minorHAnsi" w:hAnsiTheme="minorHAnsi" w:cstheme="minorHAnsi"/>
          <w:color w:val="000000"/>
          <w:sz w:val="22"/>
          <w:szCs w:val="22"/>
          <w:bdr w:val="none" w:sz="0" w:space="0" w:color="auto" w:frame="1"/>
        </w:rPr>
        <w:t>21) Freestyle Libre 14 day indications and important safety information.</w:t>
      </w:r>
      <w:r w:rsidR="00842F3B">
        <w:rPr>
          <w:rFonts w:asciiTheme="minorHAnsi" w:hAnsiTheme="minorHAnsi" w:cstheme="minorHAnsi"/>
          <w:color w:val="000000"/>
          <w:sz w:val="22"/>
          <w:szCs w:val="22"/>
          <w:bdr w:val="none" w:sz="0" w:space="0" w:color="auto" w:frame="1"/>
        </w:rPr>
        <w:t xml:space="preserve"> </w:t>
      </w:r>
      <w:r w:rsidRPr="003E0156">
        <w:rPr>
          <w:rFonts w:asciiTheme="minorHAnsi" w:hAnsiTheme="minorHAnsi" w:cstheme="minorHAnsi"/>
          <w:color w:val="000000"/>
          <w:sz w:val="22"/>
          <w:szCs w:val="22"/>
          <w:bdr w:val="none" w:sz="0" w:space="0" w:color="auto" w:frame="1"/>
        </w:rPr>
        <w:t xml:space="preserve"> </w:t>
      </w:r>
      <w:hyperlink r:id="rId8" w:history="1">
        <w:r w:rsidR="00C54D09" w:rsidRPr="00F57D38">
          <w:rPr>
            <w:rStyle w:val="Hyperlink"/>
            <w:rFonts w:asciiTheme="minorHAnsi" w:hAnsiTheme="minorHAnsi" w:cstheme="minorHAnsi"/>
            <w:sz w:val="22"/>
            <w:szCs w:val="22"/>
            <w:bdr w:val="none" w:sz="0" w:space="0" w:color="auto" w:frame="1"/>
          </w:rPr>
          <w:t>https://www.freestyle.abbott/us-en/safety-information.html</w:t>
        </w:r>
      </w:hyperlink>
    </w:p>
    <w:p w14:paraId="05D59C3D" w14:textId="0E85562B" w:rsidR="003E0156" w:rsidRDefault="003E0156" w:rsidP="009F1A87">
      <w:pPr>
        <w:pStyle w:val="NormalWeb"/>
        <w:numPr>
          <w:ilvl w:val="0"/>
          <w:numId w:val="3"/>
        </w:numPr>
        <w:spacing w:before="0" w:beforeAutospacing="0" w:after="0" w:afterAutospacing="0" w:line="360" w:lineRule="auto"/>
        <w:rPr>
          <w:rFonts w:asciiTheme="minorHAnsi" w:hAnsiTheme="minorHAnsi" w:cstheme="minorHAnsi"/>
          <w:color w:val="000000"/>
          <w:sz w:val="22"/>
          <w:szCs w:val="22"/>
          <w:bdr w:val="none" w:sz="0" w:space="0" w:color="auto" w:frame="1"/>
        </w:rPr>
      </w:pPr>
      <w:r w:rsidRPr="003E0156">
        <w:rPr>
          <w:rFonts w:asciiTheme="minorHAnsi" w:hAnsiTheme="minorHAnsi" w:cstheme="minorHAnsi"/>
          <w:color w:val="000000"/>
          <w:sz w:val="22"/>
          <w:szCs w:val="22"/>
          <w:bdr w:val="none" w:sz="0" w:space="0" w:color="auto" w:frame="1"/>
        </w:rPr>
        <w:t xml:space="preserve">Alzheimer’s Society (2021) Recognising when someone is reaching the end of their life. </w:t>
      </w:r>
    </w:p>
    <w:p w14:paraId="73F0CECA" w14:textId="62153EC8" w:rsidR="007615D3" w:rsidRPr="003E0156" w:rsidRDefault="00A66C17" w:rsidP="009F1A87">
      <w:pPr>
        <w:pStyle w:val="NormalWeb"/>
        <w:spacing w:before="0" w:beforeAutospacing="0" w:after="0" w:afterAutospacing="0" w:line="360" w:lineRule="auto"/>
        <w:ind w:left="360"/>
        <w:rPr>
          <w:rFonts w:asciiTheme="minorHAnsi" w:hAnsiTheme="minorHAnsi" w:cstheme="minorHAnsi"/>
          <w:color w:val="000000"/>
          <w:sz w:val="22"/>
          <w:szCs w:val="22"/>
        </w:rPr>
      </w:pPr>
      <w:hyperlink r:id="rId9" w:anchor="content-start" w:history="1">
        <w:r w:rsidR="007615D3" w:rsidRPr="00F57D38">
          <w:rPr>
            <w:rStyle w:val="Hyperlink"/>
            <w:rFonts w:asciiTheme="minorHAnsi" w:hAnsiTheme="minorHAnsi" w:cstheme="minorHAnsi"/>
            <w:sz w:val="22"/>
            <w:szCs w:val="22"/>
          </w:rPr>
          <w:t>https://www.alzheimers.org.uk/get-support/help-dementia-care/recognising-when-someone-reaching-end-their-life#content-start</w:t>
        </w:r>
      </w:hyperlink>
    </w:p>
    <w:p w14:paraId="6ED78DF9" w14:textId="76368121" w:rsidR="003E0156" w:rsidRDefault="003E0156" w:rsidP="009F1A87">
      <w:pPr>
        <w:pStyle w:val="NormalWeb"/>
        <w:numPr>
          <w:ilvl w:val="0"/>
          <w:numId w:val="3"/>
        </w:numPr>
        <w:spacing w:before="0" w:beforeAutospacing="0" w:after="0" w:afterAutospacing="0" w:line="360" w:lineRule="auto"/>
        <w:rPr>
          <w:rFonts w:asciiTheme="minorHAnsi" w:hAnsiTheme="minorHAnsi" w:cstheme="minorHAnsi"/>
          <w:color w:val="000000"/>
          <w:sz w:val="22"/>
          <w:szCs w:val="22"/>
          <w:bdr w:val="none" w:sz="0" w:space="0" w:color="auto" w:frame="1"/>
        </w:rPr>
      </w:pPr>
      <w:r w:rsidRPr="003E0156">
        <w:rPr>
          <w:rFonts w:asciiTheme="minorHAnsi" w:hAnsiTheme="minorHAnsi" w:cstheme="minorHAnsi"/>
          <w:color w:val="000000"/>
          <w:sz w:val="22"/>
          <w:szCs w:val="22"/>
          <w:bdr w:val="none" w:sz="0" w:space="0" w:color="auto" w:frame="1"/>
        </w:rPr>
        <w:t xml:space="preserve">Cole W, Coe S (2020) Assessing DFU perfusion: comparing the tried and true to the novel and new. </w:t>
      </w:r>
    </w:p>
    <w:p w14:paraId="6F663CFD" w14:textId="6C429864" w:rsidR="00AD46B3" w:rsidRPr="007615D3" w:rsidRDefault="00A66C17" w:rsidP="009F1A87">
      <w:pPr>
        <w:pStyle w:val="NormalWeb"/>
        <w:spacing w:before="0" w:beforeAutospacing="0" w:after="0" w:afterAutospacing="0" w:line="360" w:lineRule="auto"/>
        <w:ind w:left="360"/>
        <w:rPr>
          <w:rFonts w:asciiTheme="minorHAnsi" w:hAnsiTheme="minorHAnsi" w:cstheme="minorHAnsi"/>
          <w:color w:val="000000"/>
          <w:sz w:val="22"/>
          <w:szCs w:val="22"/>
          <w:bdr w:val="none" w:sz="0" w:space="0" w:color="auto" w:frame="1"/>
        </w:rPr>
      </w:pPr>
      <w:hyperlink r:id="rId10" w:history="1">
        <w:r w:rsidR="00AD46B3" w:rsidRPr="00F57D38">
          <w:rPr>
            <w:rStyle w:val="Hyperlink"/>
            <w:rFonts w:asciiTheme="minorHAnsi" w:hAnsiTheme="minorHAnsi" w:cstheme="minorHAnsi"/>
            <w:sz w:val="22"/>
            <w:szCs w:val="22"/>
            <w:bdr w:val="none" w:sz="0" w:space="0" w:color="auto" w:frame="1"/>
          </w:rPr>
          <w:t>https://www.hmpgloballearningnetwork.com/site/twc/articles/assessing-dfu-perfusion-comparing-tried-true-novel-new</w:t>
        </w:r>
      </w:hyperlink>
    </w:p>
    <w:p w14:paraId="37D5CC3B" w14:textId="6F84C676" w:rsidR="00AD46B3" w:rsidRPr="00AD46B3" w:rsidRDefault="003E0156" w:rsidP="009F1A87">
      <w:pPr>
        <w:pStyle w:val="NormalWeb"/>
        <w:numPr>
          <w:ilvl w:val="0"/>
          <w:numId w:val="3"/>
        </w:numPr>
        <w:spacing w:before="0" w:beforeAutospacing="0" w:after="0" w:afterAutospacing="0" w:line="360" w:lineRule="auto"/>
        <w:rPr>
          <w:rFonts w:asciiTheme="minorHAnsi" w:hAnsiTheme="minorHAnsi" w:cstheme="minorHAnsi"/>
          <w:color w:val="000000"/>
          <w:sz w:val="22"/>
          <w:szCs w:val="22"/>
          <w:bdr w:val="none" w:sz="0" w:space="0" w:color="auto" w:frame="1"/>
        </w:rPr>
      </w:pPr>
      <w:r w:rsidRPr="003E0156">
        <w:rPr>
          <w:rFonts w:asciiTheme="minorHAnsi" w:hAnsiTheme="minorHAnsi" w:cstheme="minorHAnsi"/>
          <w:color w:val="000000"/>
          <w:sz w:val="22"/>
          <w:szCs w:val="22"/>
          <w:bdr w:val="none" w:sz="0" w:space="0" w:color="auto" w:frame="1"/>
        </w:rPr>
        <w:t>Crasto W, Jervis J, Davies MJ (2016) Handbook of insulin therapies. Springer international publishing. Switzerland. Pg 202</w:t>
      </w:r>
      <w:r w:rsidR="00AD46B3">
        <w:rPr>
          <w:rFonts w:asciiTheme="minorHAnsi" w:hAnsiTheme="minorHAnsi" w:cstheme="minorHAnsi"/>
          <w:color w:val="000000"/>
          <w:sz w:val="22"/>
          <w:szCs w:val="22"/>
          <w:bdr w:val="none" w:sz="0" w:space="0" w:color="auto" w:frame="1"/>
        </w:rPr>
        <w:t>-203.</w:t>
      </w:r>
    </w:p>
    <w:p w14:paraId="50CC53C4" w14:textId="52B4E4AE" w:rsidR="003E0156" w:rsidRDefault="003E0156" w:rsidP="009F1A87">
      <w:pPr>
        <w:pStyle w:val="NormalWeb"/>
        <w:numPr>
          <w:ilvl w:val="0"/>
          <w:numId w:val="3"/>
        </w:numPr>
        <w:spacing w:before="0" w:beforeAutospacing="0" w:after="0" w:afterAutospacing="0" w:line="360" w:lineRule="auto"/>
        <w:rPr>
          <w:rFonts w:asciiTheme="minorHAnsi" w:hAnsiTheme="minorHAnsi" w:cstheme="minorHAnsi"/>
          <w:color w:val="000000"/>
          <w:sz w:val="22"/>
          <w:szCs w:val="22"/>
          <w:bdr w:val="none" w:sz="0" w:space="0" w:color="auto" w:frame="1"/>
        </w:rPr>
      </w:pPr>
      <w:r w:rsidRPr="003E0156">
        <w:rPr>
          <w:rFonts w:asciiTheme="minorHAnsi" w:hAnsiTheme="minorHAnsi" w:cstheme="minorHAnsi"/>
          <w:color w:val="000000"/>
          <w:sz w:val="22"/>
          <w:szCs w:val="22"/>
          <w:bdr w:val="none" w:sz="0" w:space="0" w:color="auto" w:frame="1"/>
        </w:rPr>
        <w:t xml:space="preserve">Diabetes UK (DUK) (2018) End of life diabetes care ; clinical care recommendations. </w:t>
      </w:r>
    </w:p>
    <w:p w14:paraId="7C958438" w14:textId="246CF506" w:rsidR="00842F3B" w:rsidRPr="003E0156" w:rsidRDefault="003E0156" w:rsidP="009F1A87">
      <w:pPr>
        <w:pStyle w:val="NormalWeb"/>
        <w:numPr>
          <w:ilvl w:val="0"/>
          <w:numId w:val="3"/>
        </w:numPr>
        <w:spacing w:before="0" w:beforeAutospacing="0" w:after="0" w:afterAutospacing="0" w:line="360" w:lineRule="auto"/>
        <w:rPr>
          <w:rFonts w:asciiTheme="minorHAnsi" w:hAnsiTheme="minorHAnsi" w:cstheme="minorHAnsi"/>
          <w:color w:val="000000"/>
          <w:sz w:val="22"/>
          <w:szCs w:val="22"/>
        </w:rPr>
      </w:pPr>
      <w:r w:rsidRPr="003E0156">
        <w:rPr>
          <w:rFonts w:asciiTheme="minorHAnsi" w:hAnsiTheme="minorHAnsi" w:cstheme="minorHAnsi"/>
          <w:color w:val="000000"/>
          <w:sz w:val="22"/>
          <w:szCs w:val="22"/>
        </w:rPr>
        <w:t>TREND, 2021. End of Life Guidance for Diabetes Care</w:t>
      </w:r>
      <w:r w:rsidR="00842F3B">
        <w:rPr>
          <w:rFonts w:asciiTheme="minorHAnsi" w:hAnsiTheme="minorHAnsi" w:cstheme="minorHAnsi"/>
          <w:color w:val="000000"/>
          <w:sz w:val="22"/>
          <w:szCs w:val="22"/>
        </w:rPr>
        <w:t>.</w:t>
      </w:r>
      <w:r w:rsidR="00AD46B3">
        <w:rPr>
          <w:rFonts w:asciiTheme="minorHAnsi" w:hAnsiTheme="minorHAnsi" w:cstheme="minorHAnsi"/>
          <w:color w:val="000000"/>
          <w:sz w:val="22"/>
          <w:szCs w:val="22"/>
        </w:rPr>
        <w:t xml:space="preserve"> </w:t>
      </w:r>
      <w:hyperlink r:id="rId11" w:history="1">
        <w:r w:rsidR="00842F3B" w:rsidRPr="00F57D38">
          <w:rPr>
            <w:rStyle w:val="Hyperlink"/>
            <w:rFonts w:asciiTheme="minorHAnsi" w:hAnsiTheme="minorHAnsi" w:cstheme="minorHAnsi"/>
            <w:sz w:val="22"/>
            <w:szCs w:val="22"/>
          </w:rPr>
          <w:t>https://www.diabetes.org.uk/professionals/position-statements-reports/diagnosis-ongoing-management-monitoring/end-of-life-care</w:t>
        </w:r>
      </w:hyperlink>
    </w:p>
    <w:p w14:paraId="49B661C4" w14:textId="03009E42" w:rsidR="003E0156" w:rsidRDefault="003E0156" w:rsidP="009F1A87">
      <w:pPr>
        <w:pStyle w:val="NormalWeb"/>
        <w:numPr>
          <w:ilvl w:val="0"/>
          <w:numId w:val="3"/>
        </w:numPr>
        <w:spacing w:before="0" w:beforeAutospacing="0" w:after="0" w:afterAutospacing="0" w:line="360" w:lineRule="auto"/>
        <w:rPr>
          <w:rFonts w:asciiTheme="minorHAnsi" w:hAnsiTheme="minorHAnsi" w:cstheme="minorHAnsi"/>
          <w:color w:val="000000"/>
          <w:sz w:val="22"/>
          <w:szCs w:val="22"/>
          <w:bdr w:val="none" w:sz="0" w:space="0" w:color="auto" w:frame="1"/>
        </w:rPr>
      </w:pPr>
      <w:r w:rsidRPr="003E0156">
        <w:rPr>
          <w:rFonts w:asciiTheme="minorHAnsi" w:hAnsiTheme="minorHAnsi" w:cstheme="minorHAnsi"/>
          <w:color w:val="000000"/>
          <w:sz w:val="22"/>
          <w:szCs w:val="22"/>
          <w:bdr w:val="none" w:sz="0" w:space="0" w:color="auto" w:frame="1"/>
        </w:rPr>
        <w:t xml:space="preserve">General Medical Council (GMC) (2010) Treatment and care towards the end of life; good practice in decision making. </w:t>
      </w:r>
    </w:p>
    <w:p w14:paraId="49C3EA7F" w14:textId="1C5BE84F" w:rsidR="00AD46B3" w:rsidRPr="003E0156" w:rsidRDefault="00A66C17" w:rsidP="009F1A87">
      <w:pPr>
        <w:pStyle w:val="NormalWeb"/>
        <w:spacing w:before="0" w:beforeAutospacing="0" w:after="0" w:afterAutospacing="0" w:line="360" w:lineRule="auto"/>
        <w:ind w:left="360"/>
        <w:rPr>
          <w:rFonts w:asciiTheme="minorHAnsi" w:hAnsiTheme="minorHAnsi" w:cstheme="minorHAnsi"/>
          <w:color w:val="000000"/>
          <w:sz w:val="22"/>
          <w:szCs w:val="22"/>
        </w:rPr>
      </w:pPr>
      <w:hyperlink r:id="rId12" w:history="1">
        <w:r w:rsidR="003265FF">
          <w:rPr>
            <w:rStyle w:val="Hyperlink"/>
          </w:rPr>
          <w:t>treatment-and-care-towards-the-end-of-life---english-1015_pdf-48902105.pdf (gmc-uk.org)</w:t>
        </w:r>
      </w:hyperlink>
    </w:p>
    <w:p w14:paraId="39A509B9" w14:textId="77777777" w:rsidR="00510499" w:rsidRDefault="00510499" w:rsidP="003E0156">
      <w:pPr>
        <w:pStyle w:val="NormalWeb"/>
        <w:spacing w:before="0" w:beforeAutospacing="0" w:after="0" w:afterAutospacing="0" w:line="360" w:lineRule="auto"/>
        <w:rPr>
          <w:rFonts w:asciiTheme="minorHAnsi" w:hAnsiTheme="minorHAnsi" w:cstheme="minorHAnsi"/>
          <w:color w:val="000000"/>
          <w:sz w:val="22"/>
          <w:szCs w:val="22"/>
          <w:bdr w:val="none" w:sz="0" w:space="0" w:color="auto" w:frame="1"/>
        </w:rPr>
      </w:pPr>
    </w:p>
    <w:p w14:paraId="74D174B1" w14:textId="0D1D5726" w:rsidR="003E0156" w:rsidRDefault="003E0156" w:rsidP="009F1A87">
      <w:pPr>
        <w:pStyle w:val="NormalWeb"/>
        <w:numPr>
          <w:ilvl w:val="0"/>
          <w:numId w:val="3"/>
        </w:numPr>
        <w:spacing w:before="0" w:beforeAutospacing="0" w:after="0" w:afterAutospacing="0" w:line="360" w:lineRule="auto"/>
        <w:rPr>
          <w:rFonts w:asciiTheme="minorHAnsi" w:hAnsiTheme="minorHAnsi" w:cstheme="minorHAnsi"/>
          <w:color w:val="000000"/>
          <w:sz w:val="22"/>
          <w:szCs w:val="22"/>
          <w:bdr w:val="none" w:sz="0" w:space="0" w:color="auto" w:frame="1"/>
        </w:rPr>
      </w:pPr>
      <w:r w:rsidRPr="003E0156">
        <w:rPr>
          <w:rFonts w:asciiTheme="minorHAnsi" w:hAnsiTheme="minorHAnsi" w:cstheme="minorHAnsi"/>
          <w:color w:val="000000"/>
          <w:sz w:val="22"/>
          <w:szCs w:val="22"/>
          <w:bdr w:val="none" w:sz="0" w:space="0" w:color="auto" w:frame="1"/>
        </w:rPr>
        <w:lastRenderedPageBreak/>
        <w:t xml:space="preserve">NHS (2020) Advanced decision (living will); End of life care. </w:t>
      </w:r>
    </w:p>
    <w:p w14:paraId="524627D7" w14:textId="06A00A15" w:rsidR="003265FF" w:rsidRPr="009F1A87" w:rsidRDefault="00A66C17" w:rsidP="003E0156">
      <w:pPr>
        <w:pStyle w:val="NormalWeb"/>
        <w:spacing w:before="0" w:beforeAutospacing="0" w:after="0" w:afterAutospacing="0" w:line="360" w:lineRule="auto"/>
        <w:rPr>
          <w:rFonts w:asciiTheme="minorHAnsi" w:hAnsiTheme="minorHAnsi" w:cstheme="minorHAnsi"/>
          <w:color w:val="000000"/>
          <w:sz w:val="22"/>
          <w:szCs w:val="22"/>
          <w:bdr w:val="none" w:sz="0" w:space="0" w:color="auto" w:frame="1"/>
        </w:rPr>
      </w:pPr>
      <w:hyperlink r:id="rId13" w:history="1">
        <w:r w:rsidR="00510499" w:rsidRPr="00F57D38">
          <w:rPr>
            <w:rStyle w:val="Hyperlink"/>
            <w:rFonts w:asciiTheme="minorHAnsi" w:hAnsiTheme="minorHAnsi" w:cstheme="minorHAnsi"/>
            <w:sz w:val="22"/>
            <w:szCs w:val="22"/>
            <w:bdr w:val="none" w:sz="0" w:space="0" w:color="auto" w:frame="1"/>
          </w:rPr>
          <w:t>https://www.nhs.uk/conditions/end-of-life-care/advance-decision-to-refuse-treatment/</w:t>
        </w:r>
      </w:hyperlink>
    </w:p>
    <w:p w14:paraId="227697FF" w14:textId="31B1912C" w:rsidR="003E0156" w:rsidRDefault="003E0156" w:rsidP="009F1A87">
      <w:pPr>
        <w:pStyle w:val="NormalWeb"/>
        <w:numPr>
          <w:ilvl w:val="0"/>
          <w:numId w:val="3"/>
        </w:numPr>
        <w:spacing w:before="0" w:beforeAutospacing="0" w:after="0" w:afterAutospacing="0" w:line="360" w:lineRule="auto"/>
        <w:rPr>
          <w:rFonts w:asciiTheme="minorHAnsi" w:hAnsiTheme="minorHAnsi" w:cstheme="minorHAnsi"/>
          <w:color w:val="000000"/>
          <w:sz w:val="22"/>
          <w:szCs w:val="22"/>
          <w:bdr w:val="none" w:sz="0" w:space="0" w:color="auto" w:frame="1"/>
        </w:rPr>
      </w:pPr>
      <w:r w:rsidRPr="003E0156">
        <w:rPr>
          <w:rFonts w:asciiTheme="minorHAnsi" w:hAnsiTheme="minorHAnsi" w:cstheme="minorHAnsi"/>
          <w:color w:val="000000"/>
          <w:sz w:val="22"/>
          <w:szCs w:val="22"/>
          <w:bdr w:val="none" w:sz="0" w:space="0" w:color="auto" w:frame="1"/>
        </w:rPr>
        <w:t>The Gold Standards Framework Proactive Identification Guidance (PIG, 20</w:t>
      </w:r>
      <w:r w:rsidR="004236BE">
        <w:rPr>
          <w:rFonts w:asciiTheme="minorHAnsi" w:hAnsiTheme="minorHAnsi" w:cstheme="minorHAnsi"/>
          <w:color w:val="000000"/>
          <w:sz w:val="22"/>
          <w:szCs w:val="22"/>
          <w:bdr w:val="none" w:sz="0" w:space="0" w:color="auto" w:frame="1"/>
        </w:rPr>
        <w:t>22</w:t>
      </w:r>
      <w:r w:rsidRPr="003E0156">
        <w:rPr>
          <w:rFonts w:asciiTheme="minorHAnsi" w:hAnsiTheme="minorHAnsi" w:cstheme="minorHAnsi"/>
          <w:color w:val="000000"/>
          <w:sz w:val="22"/>
          <w:szCs w:val="22"/>
          <w:bdr w:val="none" w:sz="0" w:space="0" w:color="auto" w:frame="1"/>
        </w:rPr>
        <w:t>) </w:t>
      </w:r>
    </w:p>
    <w:p w14:paraId="14F4A0EA" w14:textId="38D70A28" w:rsidR="004236BE" w:rsidRDefault="00A66C17" w:rsidP="003E0156">
      <w:pPr>
        <w:pStyle w:val="NormalWeb"/>
        <w:spacing w:before="0" w:beforeAutospacing="0" w:after="0" w:afterAutospacing="0" w:line="360" w:lineRule="auto"/>
        <w:rPr>
          <w:rFonts w:asciiTheme="minorHAnsi" w:hAnsiTheme="minorHAnsi" w:cstheme="minorHAnsi"/>
          <w:color w:val="000000"/>
          <w:sz w:val="22"/>
          <w:szCs w:val="22"/>
        </w:rPr>
      </w:pPr>
      <w:hyperlink r:id="rId14" w:history="1">
        <w:r w:rsidR="004236BE" w:rsidRPr="00F57D38">
          <w:rPr>
            <w:rStyle w:val="Hyperlink"/>
            <w:rFonts w:asciiTheme="minorHAnsi" w:hAnsiTheme="minorHAnsi" w:cstheme="minorHAnsi"/>
            <w:sz w:val="22"/>
            <w:szCs w:val="22"/>
          </w:rPr>
          <w:t>https://goldstandardsframework.org.uk/PIG</w:t>
        </w:r>
      </w:hyperlink>
    </w:p>
    <w:p w14:paraId="6435B661" w14:textId="77777777" w:rsidR="004236BE" w:rsidRPr="003E0156" w:rsidRDefault="004236BE" w:rsidP="003E0156">
      <w:pPr>
        <w:pStyle w:val="NormalWeb"/>
        <w:spacing w:before="0" w:beforeAutospacing="0" w:after="0" w:afterAutospacing="0" w:line="360" w:lineRule="auto"/>
        <w:rPr>
          <w:rFonts w:asciiTheme="minorHAnsi" w:hAnsiTheme="minorHAnsi" w:cstheme="minorHAnsi"/>
          <w:color w:val="000000"/>
          <w:sz w:val="22"/>
          <w:szCs w:val="22"/>
        </w:rPr>
      </w:pPr>
    </w:p>
    <w:p w14:paraId="3AB1E87B" w14:textId="3F1D0753" w:rsidR="003E0156" w:rsidRPr="003E0156" w:rsidRDefault="00A66C17" w:rsidP="003E0156">
      <w:pPr>
        <w:pStyle w:val="z-BottomofForm"/>
        <w:spacing w:line="360" w:lineRule="auto"/>
        <w:rPr>
          <w:rFonts w:asciiTheme="minorHAnsi" w:hAnsiTheme="minorHAnsi" w:cstheme="minorHAnsi"/>
          <w:sz w:val="22"/>
          <w:szCs w:val="22"/>
        </w:rPr>
      </w:pPr>
      <w:hyperlink r:id="rId15" w:history="1">
        <w:r w:rsidR="004264EC">
          <w:rPr>
            <w:rStyle w:val="Hyperlink"/>
          </w:rPr>
          <w:t>Gold Standard Framework - PIG - Proactive Identification Guidance Registration Form (goldstandardsframework.org.uk)</w:t>
        </w:r>
      </w:hyperlink>
      <w:r w:rsidR="004264EC" w:rsidRPr="003E0156">
        <w:rPr>
          <w:rFonts w:asciiTheme="minorHAnsi" w:hAnsiTheme="minorHAnsi" w:cstheme="minorHAnsi"/>
          <w:sz w:val="22"/>
          <w:szCs w:val="22"/>
        </w:rPr>
        <w:t xml:space="preserve"> </w:t>
      </w:r>
      <w:r w:rsidR="003E0156" w:rsidRPr="003E0156">
        <w:rPr>
          <w:rFonts w:asciiTheme="minorHAnsi" w:hAnsiTheme="minorHAnsi" w:cstheme="minorHAnsi"/>
          <w:sz w:val="22"/>
          <w:szCs w:val="22"/>
        </w:rPr>
        <w:t>Bottom of Form</w:t>
      </w:r>
    </w:p>
    <w:p w14:paraId="719F0225" w14:textId="77777777" w:rsidR="003E0156" w:rsidRPr="003E0156" w:rsidRDefault="003E0156" w:rsidP="003E0156">
      <w:pPr>
        <w:spacing w:line="360" w:lineRule="auto"/>
        <w:rPr>
          <w:rFonts w:cstheme="minorHAnsi"/>
          <w:u w:val="single"/>
        </w:rPr>
      </w:pPr>
    </w:p>
    <w:sectPr w:rsidR="003E0156" w:rsidRPr="003E015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119CE" w14:textId="77777777" w:rsidR="00D61561" w:rsidRDefault="00D61561" w:rsidP="00D61561">
      <w:pPr>
        <w:spacing w:after="0" w:line="240" w:lineRule="auto"/>
      </w:pPr>
      <w:r>
        <w:separator/>
      </w:r>
    </w:p>
  </w:endnote>
  <w:endnote w:type="continuationSeparator" w:id="0">
    <w:p w14:paraId="239EBF81" w14:textId="77777777" w:rsidR="00D61561" w:rsidRDefault="00D61561" w:rsidP="00D6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0450" w14:textId="73106084" w:rsidR="00D61561" w:rsidRDefault="00D61561">
    <w:pPr>
      <w:pStyle w:val="Footer"/>
    </w:pPr>
    <w:r>
      <w:t>Omar Seedat 15/11/2022</w:t>
    </w:r>
  </w:p>
  <w:p w14:paraId="77246D28" w14:textId="77777777" w:rsidR="00D61561" w:rsidRDefault="00D61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40AB" w14:textId="77777777" w:rsidR="00D61561" w:rsidRDefault="00D61561" w:rsidP="00D61561">
      <w:pPr>
        <w:spacing w:after="0" w:line="240" w:lineRule="auto"/>
      </w:pPr>
      <w:r>
        <w:separator/>
      </w:r>
    </w:p>
  </w:footnote>
  <w:footnote w:type="continuationSeparator" w:id="0">
    <w:p w14:paraId="4EEEDB15" w14:textId="77777777" w:rsidR="00D61561" w:rsidRDefault="00D61561" w:rsidP="00D61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C7488"/>
    <w:multiLevelType w:val="hybridMultilevel"/>
    <w:tmpl w:val="96C81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080052"/>
    <w:multiLevelType w:val="multilevel"/>
    <w:tmpl w:val="032C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4C0DD7"/>
    <w:multiLevelType w:val="multilevel"/>
    <w:tmpl w:val="3450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65668A"/>
    <w:multiLevelType w:val="hybridMultilevel"/>
    <w:tmpl w:val="DDDCE2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56"/>
    <w:rsid w:val="001C16DE"/>
    <w:rsid w:val="003265FF"/>
    <w:rsid w:val="003E0156"/>
    <w:rsid w:val="003E686C"/>
    <w:rsid w:val="004236BE"/>
    <w:rsid w:val="004264EC"/>
    <w:rsid w:val="00510499"/>
    <w:rsid w:val="005713C9"/>
    <w:rsid w:val="00701E23"/>
    <w:rsid w:val="007615D3"/>
    <w:rsid w:val="00842F3B"/>
    <w:rsid w:val="009F1A87"/>
    <w:rsid w:val="00A66C17"/>
    <w:rsid w:val="00AD46B3"/>
    <w:rsid w:val="00B3586E"/>
    <w:rsid w:val="00C54D09"/>
    <w:rsid w:val="00CC3071"/>
    <w:rsid w:val="00D22880"/>
    <w:rsid w:val="00D61561"/>
    <w:rsid w:val="00DB7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D907"/>
  <w15:chartTrackingRefBased/>
  <w15:docId w15:val="{14E98B1E-5C58-4EC4-B923-0FCD612B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156"/>
    <w:rPr>
      <w:color w:val="0563C1" w:themeColor="hyperlink"/>
      <w:u w:val="single"/>
    </w:rPr>
  </w:style>
  <w:style w:type="character" w:styleId="UnresolvedMention">
    <w:name w:val="Unresolved Mention"/>
    <w:basedOn w:val="DefaultParagraphFont"/>
    <w:uiPriority w:val="99"/>
    <w:semiHidden/>
    <w:unhideWhenUsed/>
    <w:rsid w:val="003E0156"/>
    <w:rPr>
      <w:color w:val="605E5C"/>
      <w:shd w:val="clear" w:color="auto" w:fill="E1DFDD"/>
    </w:rPr>
  </w:style>
  <w:style w:type="paragraph" w:styleId="z-TopofForm">
    <w:name w:val="HTML Top of Form"/>
    <w:basedOn w:val="Normal"/>
    <w:next w:val="Normal"/>
    <w:link w:val="z-TopofFormChar"/>
    <w:hidden/>
    <w:uiPriority w:val="99"/>
    <w:semiHidden/>
    <w:unhideWhenUsed/>
    <w:rsid w:val="003E0156"/>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E0156"/>
    <w:rPr>
      <w:rFonts w:ascii="Arial" w:eastAsia="Times New Roman" w:hAnsi="Arial" w:cs="Arial"/>
      <w:vanish/>
      <w:sz w:val="16"/>
      <w:szCs w:val="16"/>
      <w:lang w:eastAsia="en-GB"/>
    </w:rPr>
  </w:style>
  <w:style w:type="paragraph" w:styleId="NormalWeb">
    <w:name w:val="Normal (Web)"/>
    <w:basedOn w:val="Normal"/>
    <w:uiPriority w:val="99"/>
    <w:semiHidden/>
    <w:unhideWhenUsed/>
    <w:rsid w:val="003E01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3E0156"/>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E0156"/>
    <w:rPr>
      <w:rFonts w:ascii="Arial" w:eastAsia="Times New Roman" w:hAnsi="Arial" w:cs="Arial"/>
      <w:vanish/>
      <w:sz w:val="16"/>
      <w:szCs w:val="16"/>
      <w:lang w:eastAsia="en-GB"/>
    </w:rPr>
  </w:style>
  <w:style w:type="table" w:styleId="TableGrid">
    <w:name w:val="Table Grid"/>
    <w:basedOn w:val="TableNormal"/>
    <w:uiPriority w:val="39"/>
    <w:rsid w:val="00D22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13C9"/>
    <w:rPr>
      <w:color w:val="954F72" w:themeColor="followedHyperlink"/>
      <w:u w:val="single"/>
    </w:rPr>
  </w:style>
  <w:style w:type="paragraph" w:styleId="Header">
    <w:name w:val="header"/>
    <w:basedOn w:val="Normal"/>
    <w:link w:val="HeaderChar"/>
    <w:uiPriority w:val="99"/>
    <w:unhideWhenUsed/>
    <w:rsid w:val="00D61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561"/>
  </w:style>
  <w:style w:type="paragraph" w:styleId="Footer">
    <w:name w:val="footer"/>
    <w:basedOn w:val="Normal"/>
    <w:link w:val="FooterChar"/>
    <w:uiPriority w:val="99"/>
    <w:unhideWhenUsed/>
    <w:rsid w:val="00D61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6377">
      <w:bodyDiv w:val="1"/>
      <w:marLeft w:val="0"/>
      <w:marRight w:val="0"/>
      <w:marTop w:val="0"/>
      <w:marBottom w:val="0"/>
      <w:divBdr>
        <w:top w:val="none" w:sz="0" w:space="0" w:color="auto"/>
        <w:left w:val="none" w:sz="0" w:space="0" w:color="auto"/>
        <w:bottom w:val="none" w:sz="0" w:space="0" w:color="auto"/>
        <w:right w:val="none" w:sz="0" w:space="0" w:color="auto"/>
      </w:divBdr>
    </w:div>
    <w:div w:id="1279024300">
      <w:bodyDiv w:val="1"/>
      <w:marLeft w:val="0"/>
      <w:marRight w:val="0"/>
      <w:marTop w:val="0"/>
      <w:marBottom w:val="0"/>
      <w:divBdr>
        <w:top w:val="none" w:sz="0" w:space="0" w:color="auto"/>
        <w:left w:val="none" w:sz="0" w:space="0" w:color="auto"/>
        <w:bottom w:val="none" w:sz="0" w:space="0" w:color="auto"/>
        <w:right w:val="none" w:sz="0" w:space="0" w:color="auto"/>
      </w:divBdr>
      <w:divsChild>
        <w:div w:id="1730032933">
          <w:marLeft w:val="0"/>
          <w:marRight w:val="0"/>
          <w:marTop w:val="0"/>
          <w:marBottom w:val="0"/>
          <w:divBdr>
            <w:top w:val="none" w:sz="0" w:space="0" w:color="auto"/>
            <w:left w:val="none" w:sz="0" w:space="0" w:color="auto"/>
            <w:bottom w:val="none" w:sz="0" w:space="0" w:color="auto"/>
            <w:right w:val="none" w:sz="0" w:space="0" w:color="auto"/>
          </w:divBdr>
          <w:divsChild>
            <w:div w:id="1659963428">
              <w:marLeft w:val="0"/>
              <w:marRight w:val="0"/>
              <w:marTop w:val="0"/>
              <w:marBottom w:val="0"/>
              <w:divBdr>
                <w:top w:val="none" w:sz="0" w:space="0" w:color="auto"/>
                <w:left w:val="none" w:sz="0" w:space="0" w:color="auto"/>
                <w:bottom w:val="none" w:sz="0" w:space="0" w:color="auto"/>
                <w:right w:val="none" w:sz="0" w:space="0" w:color="auto"/>
              </w:divBdr>
              <w:divsChild>
                <w:div w:id="8297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26133">
          <w:marLeft w:val="0"/>
          <w:marRight w:val="0"/>
          <w:marTop w:val="0"/>
          <w:marBottom w:val="0"/>
          <w:divBdr>
            <w:top w:val="none" w:sz="0" w:space="0" w:color="auto"/>
            <w:left w:val="none" w:sz="0" w:space="0" w:color="auto"/>
            <w:bottom w:val="none" w:sz="0" w:space="0" w:color="auto"/>
            <w:right w:val="none" w:sz="0" w:space="0" w:color="auto"/>
          </w:divBdr>
          <w:divsChild>
            <w:div w:id="1217669604">
              <w:marLeft w:val="0"/>
              <w:marRight w:val="0"/>
              <w:marTop w:val="0"/>
              <w:marBottom w:val="0"/>
              <w:divBdr>
                <w:top w:val="none" w:sz="0" w:space="0" w:color="auto"/>
                <w:left w:val="none" w:sz="0" w:space="0" w:color="auto"/>
                <w:bottom w:val="none" w:sz="0" w:space="0" w:color="auto"/>
                <w:right w:val="none" w:sz="0" w:space="0" w:color="auto"/>
              </w:divBdr>
              <w:divsChild>
                <w:div w:id="1672294485">
                  <w:marLeft w:val="0"/>
                  <w:marRight w:val="0"/>
                  <w:marTop w:val="0"/>
                  <w:marBottom w:val="0"/>
                  <w:divBdr>
                    <w:top w:val="none" w:sz="0" w:space="0" w:color="auto"/>
                    <w:left w:val="none" w:sz="0" w:space="0" w:color="auto"/>
                    <w:bottom w:val="none" w:sz="0" w:space="0" w:color="auto"/>
                    <w:right w:val="none" w:sz="0" w:space="0" w:color="auto"/>
                  </w:divBdr>
                  <w:divsChild>
                    <w:div w:id="15607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14746">
      <w:bodyDiv w:val="1"/>
      <w:marLeft w:val="0"/>
      <w:marRight w:val="0"/>
      <w:marTop w:val="0"/>
      <w:marBottom w:val="0"/>
      <w:divBdr>
        <w:top w:val="none" w:sz="0" w:space="0" w:color="auto"/>
        <w:left w:val="none" w:sz="0" w:space="0" w:color="auto"/>
        <w:bottom w:val="none" w:sz="0" w:space="0" w:color="auto"/>
        <w:right w:val="none" w:sz="0" w:space="0" w:color="auto"/>
      </w:divBdr>
      <w:divsChild>
        <w:div w:id="1587030380">
          <w:marLeft w:val="0"/>
          <w:marRight w:val="0"/>
          <w:marTop w:val="0"/>
          <w:marBottom w:val="0"/>
          <w:divBdr>
            <w:top w:val="none" w:sz="0" w:space="0" w:color="auto"/>
            <w:left w:val="none" w:sz="0" w:space="0" w:color="auto"/>
            <w:bottom w:val="none" w:sz="0" w:space="0" w:color="auto"/>
            <w:right w:val="none" w:sz="0" w:space="0" w:color="auto"/>
          </w:divBdr>
          <w:divsChild>
            <w:div w:id="497036567">
              <w:marLeft w:val="0"/>
              <w:marRight w:val="0"/>
              <w:marTop w:val="0"/>
              <w:marBottom w:val="0"/>
              <w:divBdr>
                <w:top w:val="none" w:sz="0" w:space="0" w:color="auto"/>
                <w:left w:val="none" w:sz="0" w:space="0" w:color="auto"/>
                <w:bottom w:val="none" w:sz="0" w:space="0" w:color="auto"/>
                <w:right w:val="none" w:sz="0" w:space="0" w:color="auto"/>
              </w:divBdr>
              <w:divsChild>
                <w:div w:id="1599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63543">
          <w:marLeft w:val="0"/>
          <w:marRight w:val="0"/>
          <w:marTop w:val="0"/>
          <w:marBottom w:val="0"/>
          <w:divBdr>
            <w:top w:val="none" w:sz="0" w:space="0" w:color="auto"/>
            <w:left w:val="none" w:sz="0" w:space="0" w:color="auto"/>
            <w:bottom w:val="none" w:sz="0" w:space="0" w:color="auto"/>
            <w:right w:val="none" w:sz="0" w:space="0" w:color="auto"/>
          </w:divBdr>
          <w:divsChild>
            <w:div w:id="1714648382">
              <w:marLeft w:val="0"/>
              <w:marRight w:val="0"/>
              <w:marTop w:val="0"/>
              <w:marBottom w:val="0"/>
              <w:divBdr>
                <w:top w:val="none" w:sz="0" w:space="0" w:color="auto"/>
                <w:left w:val="none" w:sz="0" w:space="0" w:color="auto"/>
                <w:bottom w:val="none" w:sz="0" w:space="0" w:color="auto"/>
                <w:right w:val="none" w:sz="0" w:space="0" w:color="auto"/>
              </w:divBdr>
              <w:divsChild>
                <w:div w:id="2028173803">
                  <w:marLeft w:val="0"/>
                  <w:marRight w:val="0"/>
                  <w:marTop w:val="0"/>
                  <w:marBottom w:val="0"/>
                  <w:divBdr>
                    <w:top w:val="none" w:sz="0" w:space="0" w:color="auto"/>
                    <w:left w:val="none" w:sz="0" w:space="0" w:color="auto"/>
                    <w:bottom w:val="none" w:sz="0" w:space="0" w:color="auto"/>
                    <w:right w:val="none" w:sz="0" w:space="0" w:color="auto"/>
                  </w:divBdr>
                  <w:divsChild>
                    <w:div w:id="4631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436523">
      <w:bodyDiv w:val="1"/>
      <w:marLeft w:val="0"/>
      <w:marRight w:val="0"/>
      <w:marTop w:val="0"/>
      <w:marBottom w:val="0"/>
      <w:divBdr>
        <w:top w:val="none" w:sz="0" w:space="0" w:color="auto"/>
        <w:left w:val="none" w:sz="0" w:space="0" w:color="auto"/>
        <w:bottom w:val="none" w:sz="0" w:space="0" w:color="auto"/>
        <w:right w:val="none" w:sz="0" w:space="0" w:color="auto"/>
      </w:divBdr>
      <w:divsChild>
        <w:div w:id="415983358">
          <w:marLeft w:val="0"/>
          <w:marRight w:val="0"/>
          <w:marTop w:val="0"/>
          <w:marBottom w:val="0"/>
          <w:divBdr>
            <w:top w:val="none" w:sz="0" w:space="0" w:color="auto"/>
            <w:left w:val="none" w:sz="0" w:space="0" w:color="auto"/>
            <w:bottom w:val="none" w:sz="0" w:space="0" w:color="auto"/>
            <w:right w:val="none" w:sz="0" w:space="0" w:color="auto"/>
          </w:divBdr>
          <w:divsChild>
            <w:div w:id="1608003558">
              <w:marLeft w:val="0"/>
              <w:marRight w:val="0"/>
              <w:marTop w:val="0"/>
              <w:marBottom w:val="0"/>
              <w:divBdr>
                <w:top w:val="none" w:sz="0" w:space="0" w:color="auto"/>
                <w:left w:val="none" w:sz="0" w:space="0" w:color="auto"/>
                <w:bottom w:val="none" w:sz="0" w:space="0" w:color="auto"/>
                <w:right w:val="none" w:sz="0" w:space="0" w:color="auto"/>
              </w:divBdr>
              <w:divsChild>
                <w:div w:id="4859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2900">
          <w:marLeft w:val="0"/>
          <w:marRight w:val="0"/>
          <w:marTop w:val="0"/>
          <w:marBottom w:val="0"/>
          <w:divBdr>
            <w:top w:val="none" w:sz="0" w:space="0" w:color="auto"/>
            <w:left w:val="none" w:sz="0" w:space="0" w:color="auto"/>
            <w:bottom w:val="none" w:sz="0" w:space="0" w:color="auto"/>
            <w:right w:val="none" w:sz="0" w:space="0" w:color="auto"/>
          </w:divBdr>
          <w:divsChild>
            <w:div w:id="1131749080">
              <w:marLeft w:val="0"/>
              <w:marRight w:val="0"/>
              <w:marTop w:val="0"/>
              <w:marBottom w:val="0"/>
              <w:divBdr>
                <w:top w:val="none" w:sz="0" w:space="0" w:color="auto"/>
                <w:left w:val="none" w:sz="0" w:space="0" w:color="auto"/>
                <w:bottom w:val="none" w:sz="0" w:space="0" w:color="auto"/>
                <w:right w:val="none" w:sz="0" w:space="0" w:color="auto"/>
              </w:divBdr>
              <w:divsChild>
                <w:div w:id="1321881574">
                  <w:marLeft w:val="0"/>
                  <w:marRight w:val="0"/>
                  <w:marTop w:val="0"/>
                  <w:marBottom w:val="0"/>
                  <w:divBdr>
                    <w:top w:val="none" w:sz="0" w:space="0" w:color="auto"/>
                    <w:left w:val="none" w:sz="0" w:space="0" w:color="auto"/>
                    <w:bottom w:val="none" w:sz="0" w:space="0" w:color="auto"/>
                    <w:right w:val="none" w:sz="0" w:space="0" w:color="auto"/>
                  </w:divBdr>
                  <w:divsChild>
                    <w:div w:id="10062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estyle.abbott/us-en/safety-information.html" TargetMode="External"/><Relationship Id="rId13" Type="http://schemas.openxmlformats.org/officeDocument/2006/relationships/hyperlink" Target="https://www.nhs.uk/conditions/end-of-life-care/advance-decision-to-refuse-treat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mc-uk.org/-/media/documents/treatment-and-care-towards-the-end-of-life---english-1015_pdf-4890210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abetes.org.uk/professionals/position-statements-reports/diagnosis-ongoing-management-monitoring/end-of-life-care" TargetMode="External"/><Relationship Id="rId5" Type="http://schemas.openxmlformats.org/officeDocument/2006/relationships/webSettings" Target="webSettings.xml"/><Relationship Id="rId15" Type="http://schemas.openxmlformats.org/officeDocument/2006/relationships/hyperlink" Target="https://goldstandardsframework.org.uk/PIG" TargetMode="External"/><Relationship Id="rId10" Type="http://schemas.openxmlformats.org/officeDocument/2006/relationships/hyperlink" Target="https://www.hmpgloballearningnetwork.com/site/twc/articles/assessing-dfu-perfusion-comparing-tried-true-novel-new" TargetMode="External"/><Relationship Id="rId4" Type="http://schemas.openxmlformats.org/officeDocument/2006/relationships/settings" Target="settings.xml"/><Relationship Id="rId9" Type="http://schemas.openxmlformats.org/officeDocument/2006/relationships/hyperlink" Target="https://www.alzheimers.org.uk/get-support/help-dementia-care/recognising-when-someone-reaching-end-their-life" TargetMode="External"/><Relationship Id="rId14" Type="http://schemas.openxmlformats.org/officeDocument/2006/relationships/hyperlink" Target="https://goldstandardsframework.org.uk/P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A0A5E-3792-4DE4-9138-46F7EB77FFE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5754</Characters>
  <Application>Microsoft Office Word</Application>
  <DocSecurity>0</DocSecurity>
  <Lines>47</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SEEDAT, Omar (NHS LANCASHIRE AND SOUTH CUMBRIA ICB - 00R)</dc:creator>
  <cp:keywords/>
  <dc:description/>
  <cp:lastModifiedBy>SEEDAT, Omar (NHS LANCASHIRE AND SOUTH CUMBRIA ICB - 00R)</cp:lastModifiedBy>
  <cp:revision>2</cp:revision>
  <dcterms:created xsi:type="dcterms:W3CDTF">2022-11-15T18:15:00Z</dcterms:created>
  <dcterms:modified xsi:type="dcterms:W3CDTF">2022-11-15T18:15:00Z</dcterms:modified>
</cp:coreProperties>
</file>