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92382" w14:paraId="32E911B7" w14:textId="77777777" w:rsidTr="00292382">
        <w:tc>
          <w:tcPr>
            <w:tcW w:w="4508" w:type="dxa"/>
            <w:shd w:val="clear" w:color="auto" w:fill="D9D9D9" w:themeFill="background1" w:themeFillShade="D9"/>
          </w:tcPr>
          <w:p w14:paraId="2DD3DA0F" w14:textId="1A7EA025" w:rsidR="00292382" w:rsidRPr="00F622BE" w:rsidRDefault="00292382" w:rsidP="00F622BE">
            <w:pPr>
              <w:pStyle w:val="Heading1"/>
              <w:spacing w:before="0"/>
              <w:rPr>
                <w:rFonts w:ascii="Arial" w:hAnsi="Arial" w:cs="Arial"/>
                <w:b/>
                <w:bCs/>
              </w:rPr>
            </w:pPr>
            <w:r w:rsidRPr="00F622BE">
              <w:rPr>
                <w:rFonts w:ascii="Arial" w:hAnsi="Arial" w:cs="Arial"/>
                <w:b/>
                <w:bCs/>
                <w:color w:val="auto"/>
              </w:rPr>
              <w:t>Question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336132DD" w14:textId="055EF4A8" w:rsidR="00292382" w:rsidRPr="00292382" w:rsidRDefault="00292382" w:rsidP="002923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9238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Answer </w:t>
            </w:r>
          </w:p>
        </w:tc>
      </w:tr>
      <w:tr w:rsidR="00292382" w14:paraId="2CEB25F8" w14:textId="77777777" w:rsidTr="00292382">
        <w:tc>
          <w:tcPr>
            <w:tcW w:w="4508" w:type="dxa"/>
          </w:tcPr>
          <w:p w14:paraId="3A1721BD" w14:textId="25CBCD04" w:rsidR="00292382" w:rsidRPr="00292382" w:rsidRDefault="00292382" w:rsidP="00292382">
            <w:pPr>
              <w:rPr>
                <w:rFonts w:ascii="Arial" w:hAnsi="Arial" w:cs="Arial"/>
              </w:rPr>
            </w:pPr>
            <w:r w:rsidRPr="00292382">
              <w:rPr>
                <w:rFonts w:ascii="Arial" w:hAnsi="Arial" w:cs="Arial"/>
              </w:rPr>
              <w:t xml:space="preserve">Could we have your email addresses please Judy &amp; Catherine? </w:t>
            </w:r>
          </w:p>
          <w:p w14:paraId="63DCFC91" w14:textId="77777777" w:rsidR="00292382" w:rsidRPr="00292382" w:rsidRDefault="00292382" w:rsidP="0029238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3BF95A8" w14:textId="410E5CE6" w:rsidR="00292382" w:rsidRDefault="00F622BE" w:rsidP="00292382">
            <w:pPr>
              <w:rPr>
                <w:rFonts w:ascii="Arial" w:hAnsi="Arial" w:cs="Arial"/>
              </w:rPr>
            </w:pPr>
            <w:hyperlink r:id="rId4" w:history="1">
              <w:r w:rsidR="00031FA4" w:rsidRPr="00D403CA">
                <w:rPr>
                  <w:rStyle w:val="Hyperlink"/>
                  <w:rFonts w:ascii="Arial" w:hAnsi="Arial" w:cs="Arial"/>
                </w:rPr>
                <w:t>j.clegg@sheffield.ac.uk</w:t>
              </w:r>
            </w:hyperlink>
          </w:p>
          <w:p w14:paraId="64086198" w14:textId="3AC0D7DB" w:rsidR="00031FA4" w:rsidRDefault="00F622BE" w:rsidP="00292382">
            <w:pPr>
              <w:rPr>
                <w:rFonts w:ascii="Arial" w:hAnsi="Arial" w:cs="Arial"/>
              </w:rPr>
            </w:pPr>
            <w:hyperlink r:id="rId5" w:history="1">
              <w:r w:rsidR="00031FA4" w:rsidRPr="00D403CA">
                <w:rPr>
                  <w:rStyle w:val="Hyperlink"/>
                  <w:rFonts w:ascii="Arial" w:hAnsi="Arial" w:cs="Arial"/>
                </w:rPr>
                <w:t>c.tattersall@sheffield.ac.uk</w:t>
              </w:r>
            </w:hyperlink>
          </w:p>
          <w:p w14:paraId="28114D12" w14:textId="77777777" w:rsidR="00031FA4" w:rsidRDefault="00031FA4" w:rsidP="00292382">
            <w:pPr>
              <w:rPr>
                <w:rFonts w:ascii="Arial" w:hAnsi="Arial" w:cs="Arial"/>
              </w:rPr>
            </w:pPr>
          </w:p>
          <w:p w14:paraId="2FD22BE8" w14:textId="6423E851" w:rsidR="00031FA4" w:rsidRPr="00292382" w:rsidRDefault="00031FA4" w:rsidP="00292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will be really helpful if you can email both of </w:t>
            </w:r>
            <w:proofErr w:type="gramStart"/>
            <w:r>
              <w:rPr>
                <w:rFonts w:ascii="Arial" w:hAnsi="Arial" w:cs="Arial"/>
              </w:rPr>
              <w:t>us</w:t>
            </w:r>
            <w:proofErr w:type="gramEnd"/>
            <w:r>
              <w:rPr>
                <w:rFonts w:ascii="Arial" w:hAnsi="Arial" w:cs="Arial"/>
              </w:rPr>
              <w:t xml:space="preserve"> so we don’t miss any emails. </w:t>
            </w:r>
          </w:p>
        </w:tc>
      </w:tr>
      <w:tr w:rsidR="00292382" w14:paraId="57F5D68D" w14:textId="77777777" w:rsidTr="00292382">
        <w:tc>
          <w:tcPr>
            <w:tcW w:w="4508" w:type="dxa"/>
          </w:tcPr>
          <w:p w14:paraId="12364707" w14:textId="5341471F" w:rsidR="00292382" w:rsidRPr="00292382" w:rsidRDefault="00292382" w:rsidP="00292382">
            <w:pPr>
              <w:rPr>
                <w:rFonts w:ascii="Arial" w:hAnsi="Arial" w:cs="Arial"/>
              </w:rPr>
            </w:pPr>
            <w:r w:rsidRPr="00292382">
              <w:rPr>
                <w:rFonts w:ascii="Arial" w:hAnsi="Arial" w:cs="Arial"/>
              </w:rPr>
              <w:t xml:space="preserve">Can I just check that the 4 years is set? I am just conscious that other AHP apprenticeships are 3 and I wouldn’t want anyone put off the </w:t>
            </w:r>
            <w:proofErr w:type="spellStart"/>
            <w:r w:rsidRPr="00292382">
              <w:rPr>
                <w:rFonts w:ascii="Arial" w:hAnsi="Arial" w:cs="Arial"/>
              </w:rPr>
              <w:t>SaLT</w:t>
            </w:r>
            <w:proofErr w:type="spellEnd"/>
            <w:r w:rsidRPr="00292382">
              <w:rPr>
                <w:rFonts w:ascii="Arial" w:hAnsi="Arial" w:cs="Arial"/>
              </w:rPr>
              <w:t xml:space="preserve"> one</w:t>
            </w:r>
          </w:p>
          <w:p w14:paraId="541C67E5" w14:textId="77777777" w:rsidR="00292382" w:rsidRPr="00292382" w:rsidRDefault="00292382" w:rsidP="0029238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E2926A9" w14:textId="77777777" w:rsidR="00292382" w:rsidRDefault="00031FA4" w:rsidP="00292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Yes, the 4 years is set. Yes, other AHP apprenticeships are 3 years in length.  The RCSLT and the trailblazer group set the SLT Apprenticeship standard at 4 years to recognise the integrity of and to protect the SLT qualification. There is no flexibility on this </w:t>
            </w:r>
            <w:proofErr w:type="gramStart"/>
            <w:r>
              <w:rPr>
                <w:rFonts w:ascii="Arial" w:hAnsi="Arial" w:cs="Arial"/>
              </w:rPr>
              <w:t>at the moment</w:t>
            </w:r>
            <w:proofErr w:type="gramEnd"/>
            <w:r>
              <w:rPr>
                <w:rFonts w:ascii="Arial" w:hAnsi="Arial" w:cs="Arial"/>
              </w:rPr>
              <w:t xml:space="preserve">. The funding is in place for a </w:t>
            </w:r>
            <w:proofErr w:type="gramStart"/>
            <w:r>
              <w:rPr>
                <w:rFonts w:ascii="Arial" w:hAnsi="Arial" w:cs="Arial"/>
              </w:rPr>
              <w:t>4 year</w:t>
            </w:r>
            <w:proofErr w:type="gramEnd"/>
            <w:r>
              <w:rPr>
                <w:rFonts w:ascii="Arial" w:hAnsi="Arial" w:cs="Arial"/>
              </w:rPr>
              <w:t xml:space="preserve"> SLT apprenticeship. </w:t>
            </w:r>
          </w:p>
          <w:p w14:paraId="60CA9CFF" w14:textId="5EE6FA9C" w:rsidR="00F622BE" w:rsidRPr="00292382" w:rsidRDefault="00F622BE" w:rsidP="00292382">
            <w:pPr>
              <w:rPr>
                <w:rFonts w:ascii="Arial" w:hAnsi="Arial" w:cs="Arial"/>
              </w:rPr>
            </w:pPr>
          </w:p>
        </w:tc>
      </w:tr>
      <w:tr w:rsidR="00292382" w14:paraId="1584408C" w14:textId="77777777" w:rsidTr="00292382">
        <w:tc>
          <w:tcPr>
            <w:tcW w:w="4508" w:type="dxa"/>
          </w:tcPr>
          <w:p w14:paraId="28F1FDF9" w14:textId="0B409E75" w:rsidR="00292382" w:rsidRPr="0016539A" w:rsidRDefault="00292382" w:rsidP="00292382">
            <w:pPr>
              <w:rPr>
                <w:rFonts w:ascii="Arial" w:hAnsi="Arial" w:cs="Arial"/>
              </w:rPr>
            </w:pPr>
            <w:r w:rsidRPr="0016539A">
              <w:rPr>
                <w:rFonts w:ascii="Arial" w:hAnsi="Arial" w:cs="Arial"/>
              </w:rPr>
              <w:t>Are we able to send out details to be skill scanned prior to applying?</w:t>
            </w:r>
          </w:p>
          <w:p w14:paraId="0D34B8FD" w14:textId="77777777" w:rsidR="00292382" w:rsidRPr="0016539A" w:rsidRDefault="00292382" w:rsidP="0029238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498E1BF" w14:textId="53397915" w:rsidR="0016539A" w:rsidRDefault="00F622BE" w:rsidP="0016539A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16539A">
              <w:rPr>
                <w:rFonts w:ascii="Arial" w:hAnsi="Arial" w:cs="Arial"/>
              </w:rPr>
              <w:t>Typically,</w:t>
            </w:r>
            <w:r w:rsidR="0016539A" w:rsidRPr="0016539A">
              <w:rPr>
                <w:rFonts w:ascii="Arial" w:hAnsi="Arial" w:cs="Arial"/>
              </w:rPr>
              <w:t xml:space="preserve"> the skill scan is undertaken by both the employer and the university once </w:t>
            </w:r>
            <w:r w:rsidR="0016539A">
              <w:rPr>
                <w:rFonts w:ascii="Arial" w:hAnsi="Arial" w:cs="Arial"/>
              </w:rPr>
              <w:t xml:space="preserve">it is deemed that </w:t>
            </w:r>
            <w:r w:rsidR="0016539A" w:rsidRPr="0016539A">
              <w:rPr>
                <w:rFonts w:ascii="Arial" w:hAnsi="Arial" w:cs="Arial"/>
              </w:rPr>
              <w:t xml:space="preserve">the apprentice has </w:t>
            </w:r>
            <w:r w:rsidR="0016539A">
              <w:rPr>
                <w:rFonts w:ascii="Arial" w:hAnsi="Arial" w:cs="Arial"/>
              </w:rPr>
              <w:t>met</w:t>
            </w:r>
            <w:r w:rsidR="0016539A" w:rsidRPr="0016539A">
              <w:rPr>
                <w:rFonts w:ascii="Arial" w:hAnsi="Arial" w:cs="Arial"/>
              </w:rPr>
              <w:t xml:space="preserve"> the entry criteria. The purpose of the scan is to provide a </w:t>
            </w:r>
            <w:r w:rsidR="0016539A" w:rsidRPr="0016539A">
              <w:rPr>
                <w:rFonts w:ascii="Arial" w:hAnsi="Arial" w:cs="Arial"/>
                <w:color w:val="333333"/>
                <w:shd w:val="clear" w:color="auto" w:fill="FFFFFF"/>
              </w:rPr>
              <w:t>starting position for the apprentice</w:t>
            </w:r>
            <w:r w:rsidR="0016539A">
              <w:rPr>
                <w:rFonts w:ascii="Arial" w:hAnsi="Arial" w:cs="Arial"/>
                <w:color w:val="333333"/>
                <w:shd w:val="clear" w:color="auto" w:fill="FFFFFF"/>
              </w:rPr>
              <w:t>.  Both the employer and the university need to agree this starting point and whether to accept any prior learning. Degree apprenticeships are taught at level 4, 5, &amp; 6 and any prior learning will need to be evidenced at level 4 at least</w:t>
            </w:r>
            <w:r w:rsidR="004176D8">
              <w:rPr>
                <w:rFonts w:ascii="Arial" w:hAnsi="Arial" w:cs="Arial"/>
                <w:color w:val="333333"/>
                <w:shd w:val="clear" w:color="auto" w:fill="FFFFFF"/>
              </w:rPr>
              <w:t xml:space="preserve"> and will need to relate to content taught on the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programme</w:t>
            </w:r>
            <w:r w:rsidR="0016539A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  <w:p w14:paraId="1B9743E6" w14:textId="15149B22" w:rsidR="0016539A" w:rsidRDefault="0016539A" w:rsidP="0016539A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52903341" w14:textId="23411647" w:rsidR="0016539A" w:rsidRDefault="0016539A" w:rsidP="0016539A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proofErr w:type="gramStart"/>
            <w:r>
              <w:rPr>
                <w:rFonts w:ascii="Arial" w:hAnsi="Arial" w:cs="Arial"/>
                <w:color w:val="333333"/>
                <w:shd w:val="clear" w:color="auto" w:fill="FFFFFF"/>
              </w:rPr>
              <w:t>As long as</w:t>
            </w:r>
            <w:proofErr w:type="gramEnd"/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the apprentice meets the entry </w:t>
            </w:r>
            <w:r w:rsidR="00F622BE">
              <w:rPr>
                <w:rFonts w:ascii="Arial" w:hAnsi="Arial" w:cs="Arial"/>
                <w:color w:val="333333"/>
                <w:shd w:val="clear" w:color="auto" w:fill="FFFFFF"/>
              </w:rPr>
              <w:t>requirements,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they do not need to demonstrate any additional skills, knowledge or behaviours during the skill scan</w:t>
            </w:r>
            <w:r w:rsidR="004176D8">
              <w:rPr>
                <w:rFonts w:ascii="Arial" w:hAnsi="Arial" w:cs="Arial"/>
                <w:color w:val="333333"/>
                <w:shd w:val="clear" w:color="auto" w:fill="FFFFFF"/>
              </w:rPr>
              <w:t>.  The primary purpose is to get the baselines which will feed into the individual training plan.</w:t>
            </w:r>
          </w:p>
          <w:p w14:paraId="2A36A143" w14:textId="77777777" w:rsidR="0016539A" w:rsidRDefault="0016539A" w:rsidP="0016539A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</w:p>
          <w:p w14:paraId="3AA98C9D" w14:textId="6896B60B" w:rsidR="00292382" w:rsidRPr="0016539A" w:rsidRDefault="0016539A" w:rsidP="001653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We can develop some guidance about what is and is not accepted as evidence of prior learning to help support conversations with potential applicants if that would be useful.  </w:t>
            </w:r>
            <w:r w:rsidR="004176D8">
              <w:rPr>
                <w:rFonts w:ascii="Arial" w:hAnsi="Arial" w:cs="Arial"/>
                <w:color w:val="333333"/>
                <w:shd w:val="clear" w:color="auto" w:fill="FFFFFF"/>
              </w:rPr>
              <w:t>It is likely that this guidance would develop over time as we work through the recruitment process.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 </w:t>
            </w:r>
          </w:p>
        </w:tc>
      </w:tr>
      <w:tr w:rsidR="00292382" w14:paraId="5F8CC5E9" w14:textId="77777777" w:rsidTr="00292382">
        <w:tc>
          <w:tcPr>
            <w:tcW w:w="4508" w:type="dxa"/>
          </w:tcPr>
          <w:p w14:paraId="70679E45" w14:textId="0CCB7CDA" w:rsidR="00292382" w:rsidRPr="00292382" w:rsidRDefault="00292382" w:rsidP="00292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92382">
              <w:rPr>
                <w:rFonts w:ascii="Arial" w:hAnsi="Arial" w:cs="Arial"/>
              </w:rPr>
              <w:t xml:space="preserve">an we have clarification of whether a degree will be acceptable as entry even if their </w:t>
            </w:r>
            <w:r>
              <w:rPr>
                <w:rFonts w:ascii="Arial" w:hAnsi="Arial" w:cs="Arial"/>
              </w:rPr>
              <w:t>A</w:t>
            </w:r>
            <w:r w:rsidRPr="00292382">
              <w:rPr>
                <w:rFonts w:ascii="Arial" w:hAnsi="Arial" w:cs="Arial"/>
              </w:rPr>
              <w:t xml:space="preserve"> levels did not meet AAB</w:t>
            </w:r>
          </w:p>
          <w:p w14:paraId="0DAD08B7" w14:textId="77777777" w:rsidR="00292382" w:rsidRPr="00292382" w:rsidRDefault="00292382" w:rsidP="0029238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233FD64" w14:textId="40B49283" w:rsidR="00292382" w:rsidRPr="00292382" w:rsidRDefault="00031FA4" w:rsidP="00292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Yes, an undergraduate degree is acceptable even if A levels are not at AAB. </w:t>
            </w:r>
          </w:p>
        </w:tc>
      </w:tr>
      <w:tr w:rsidR="00292382" w14:paraId="668BC1B0" w14:textId="77777777" w:rsidTr="00292382">
        <w:tc>
          <w:tcPr>
            <w:tcW w:w="4508" w:type="dxa"/>
          </w:tcPr>
          <w:p w14:paraId="55888FFB" w14:textId="7A36A004" w:rsidR="00292382" w:rsidRPr="00292382" w:rsidRDefault="00292382" w:rsidP="00292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</w:t>
            </w:r>
            <w:r w:rsidRPr="00292382">
              <w:rPr>
                <w:rFonts w:ascii="Arial" w:hAnsi="Arial" w:cs="Arial"/>
              </w:rPr>
              <w:t xml:space="preserve"> level 5 </w:t>
            </w:r>
            <w:proofErr w:type="spellStart"/>
            <w:r w:rsidRPr="00292382">
              <w:rPr>
                <w:rFonts w:ascii="Arial" w:hAnsi="Arial" w:cs="Arial"/>
              </w:rPr>
              <w:t>Fd</w:t>
            </w:r>
            <w:proofErr w:type="spellEnd"/>
            <w:r w:rsidRPr="002923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in health and social care acceptable as entry criteria? Will it also provide APL? </w:t>
            </w:r>
          </w:p>
          <w:p w14:paraId="36915AA8" w14:textId="77777777" w:rsidR="00292382" w:rsidRPr="00292382" w:rsidRDefault="00292382" w:rsidP="0029238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14F9ECD" w14:textId="419A56D9" w:rsidR="00292382" w:rsidRPr="00292382" w:rsidRDefault="00031FA4" w:rsidP="00292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think so but we need to check which we will do</w:t>
            </w:r>
            <w:r w:rsidR="0040719C">
              <w:rPr>
                <w:rFonts w:ascii="Arial" w:hAnsi="Arial" w:cs="Arial"/>
              </w:rPr>
              <w:t xml:space="preserve"> and communicate to stakeholders shortly. </w:t>
            </w:r>
          </w:p>
        </w:tc>
      </w:tr>
      <w:tr w:rsidR="00292382" w14:paraId="383EFD8F" w14:textId="77777777" w:rsidTr="00292382">
        <w:tc>
          <w:tcPr>
            <w:tcW w:w="4508" w:type="dxa"/>
          </w:tcPr>
          <w:p w14:paraId="07A12C5D" w14:textId="36E6A00C" w:rsidR="00292382" w:rsidRPr="00292382" w:rsidRDefault="00292382" w:rsidP="00292382">
            <w:pPr>
              <w:rPr>
                <w:rFonts w:ascii="Arial" w:hAnsi="Arial" w:cs="Arial"/>
              </w:rPr>
            </w:pPr>
            <w:r w:rsidRPr="00292382">
              <w:rPr>
                <w:rFonts w:ascii="Arial" w:hAnsi="Arial" w:cs="Arial"/>
              </w:rPr>
              <w:t xml:space="preserve">To what extent does experience as a SLT Assistant go towards entry criteria? </w:t>
            </w:r>
          </w:p>
          <w:p w14:paraId="1A926504" w14:textId="77777777" w:rsidR="00292382" w:rsidRPr="00292382" w:rsidRDefault="00292382" w:rsidP="0029238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B50B2F5" w14:textId="77777777" w:rsidR="00292382" w:rsidRDefault="00031FA4" w:rsidP="00292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This will be on the recruitment criteria, i.e., evidence of experience in SLT/people with </w:t>
            </w:r>
            <w:r>
              <w:rPr>
                <w:rFonts w:ascii="Arial" w:hAnsi="Arial" w:cs="Arial"/>
              </w:rPr>
              <w:lastRenderedPageBreak/>
              <w:t xml:space="preserve">communication impairments and commitment to the SLT profession. </w:t>
            </w:r>
          </w:p>
          <w:p w14:paraId="1F675229" w14:textId="77777777" w:rsidR="00031FA4" w:rsidRDefault="00031FA4" w:rsidP="00292382">
            <w:pPr>
              <w:rPr>
                <w:rFonts w:ascii="Arial" w:hAnsi="Arial" w:cs="Arial"/>
                <w:highlight w:val="yellow"/>
              </w:rPr>
            </w:pPr>
          </w:p>
          <w:p w14:paraId="7D3A14DA" w14:textId="1C501127" w:rsidR="00BD73E7" w:rsidRPr="00292382" w:rsidRDefault="00BD73E7" w:rsidP="00BD73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Once offered a place experience and skills can be highlighted in Skill Scan process and considered in the baselines for the apprentice. </w:t>
            </w:r>
          </w:p>
        </w:tc>
      </w:tr>
      <w:tr w:rsidR="00292382" w14:paraId="22D8CEEB" w14:textId="77777777" w:rsidTr="00292382">
        <w:tc>
          <w:tcPr>
            <w:tcW w:w="4508" w:type="dxa"/>
          </w:tcPr>
          <w:p w14:paraId="3B317C97" w14:textId="15E8D54B" w:rsidR="00292382" w:rsidRPr="00292382" w:rsidRDefault="00292382" w:rsidP="00292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</w:t>
            </w:r>
            <w:r w:rsidRPr="00292382">
              <w:rPr>
                <w:rFonts w:ascii="Arial" w:hAnsi="Arial" w:cs="Arial"/>
              </w:rPr>
              <w:t>oes each Trust organise the placements themselves using the competency guides form university</w:t>
            </w:r>
            <w:r>
              <w:rPr>
                <w:rFonts w:ascii="Arial" w:hAnsi="Arial" w:cs="Arial"/>
              </w:rPr>
              <w:t xml:space="preserve">? </w:t>
            </w:r>
          </w:p>
          <w:p w14:paraId="63923548" w14:textId="77777777" w:rsidR="00292382" w:rsidRPr="00292382" w:rsidRDefault="00292382" w:rsidP="0029238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B12FF4B" w14:textId="3482A9F2" w:rsidR="00292382" w:rsidRPr="00292382" w:rsidRDefault="00031FA4" w:rsidP="00292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Yes. We can support </w:t>
            </w:r>
            <w:proofErr w:type="gramStart"/>
            <w:r>
              <w:rPr>
                <w:rFonts w:ascii="Arial" w:hAnsi="Arial" w:cs="Arial"/>
              </w:rPr>
              <w:t>this</w:t>
            </w:r>
            <w:proofErr w:type="gramEnd"/>
            <w:r>
              <w:rPr>
                <w:rFonts w:ascii="Arial" w:hAnsi="Arial" w:cs="Arial"/>
              </w:rPr>
              <w:t xml:space="preserve"> but we encourage employers/managers to look at how they can support placements for SLT apprentices and to work across services in doing this, e.g., ‘quid pro quo’ take arrangements. </w:t>
            </w:r>
          </w:p>
        </w:tc>
      </w:tr>
      <w:tr w:rsidR="00292382" w14:paraId="4111904A" w14:textId="77777777" w:rsidTr="00292382">
        <w:tc>
          <w:tcPr>
            <w:tcW w:w="4508" w:type="dxa"/>
          </w:tcPr>
          <w:p w14:paraId="6917937B" w14:textId="204B62CF" w:rsidR="00292382" w:rsidRPr="00292382" w:rsidRDefault="00292382" w:rsidP="00292382">
            <w:pPr>
              <w:rPr>
                <w:rFonts w:ascii="Arial" w:hAnsi="Arial" w:cs="Arial"/>
              </w:rPr>
            </w:pPr>
            <w:r w:rsidRPr="00292382">
              <w:rPr>
                <w:rFonts w:ascii="Arial" w:hAnsi="Arial" w:cs="Arial"/>
              </w:rPr>
              <w:t xml:space="preserve">Given that there are only 20 places, and what looks like a lot more interest, how can we guarantee a place? We don't want to offer the apprenticeship and then not be able to get a place on the </w:t>
            </w:r>
            <w:proofErr w:type="gramStart"/>
            <w:r w:rsidRPr="00292382">
              <w:rPr>
                <w:rFonts w:ascii="Arial" w:hAnsi="Arial" w:cs="Arial"/>
              </w:rPr>
              <w:t>course?</w:t>
            </w:r>
            <w:proofErr w:type="gramEnd"/>
            <w:r w:rsidRPr="00292382">
              <w:rPr>
                <w:rFonts w:ascii="Arial" w:hAnsi="Arial" w:cs="Arial"/>
              </w:rPr>
              <w:t xml:space="preserve"> </w:t>
            </w:r>
          </w:p>
          <w:p w14:paraId="7286CBC9" w14:textId="77777777" w:rsidR="00292382" w:rsidRPr="00292382" w:rsidRDefault="00292382" w:rsidP="0029238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72E87C8" w14:textId="3AD54B30" w:rsidR="00031FA4" w:rsidRPr="00F622BE" w:rsidRDefault="00031FA4" w:rsidP="00292382">
            <w:pPr>
              <w:rPr>
                <w:rFonts w:ascii="Arial" w:hAnsi="Arial" w:cs="Arial"/>
              </w:rPr>
            </w:pPr>
            <w:r w:rsidRPr="00F622BE">
              <w:rPr>
                <w:rFonts w:ascii="Arial" w:hAnsi="Arial" w:cs="Arial"/>
              </w:rPr>
              <w:t xml:space="preserve">We talked this through at the webinar on 24/10/2022. </w:t>
            </w:r>
          </w:p>
          <w:p w14:paraId="5E461DB1" w14:textId="77777777" w:rsidR="0040719C" w:rsidRPr="00F622BE" w:rsidRDefault="0040719C" w:rsidP="00292382">
            <w:pPr>
              <w:rPr>
                <w:rFonts w:ascii="Arial" w:hAnsi="Arial" w:cs="Arial"/>
              </w:rPr>
            </w:pPr>
          </w:p>
          <w:p w14:paraId="3844C3A0" w14:textId="4365339A" w:rsidR="0040719C" w:rsidRPr="00F622BE" w:rsidRDefault="0040719C" w:rsidP="00292382">
            <w:pPr>
              <w:rPr>
                <w:rFonts w:ascii="Arial" w:hAnsi="Arial" w:cs="Arial"/>
              </w:rPr>
            </w:pPr>
            <w:r w:rsidRPr="00F622BE">
              <w:rPr>
                <w:rFonts w:ascii="Arial" w:hAnsi="Arial" w:cs="Arial"/>
              </w:rPr>
              <w:t>To better understand the demand and enable the university to explore if it is possible to support more learners please complete the demand survey by 8</w:t>
            </w:r>
            <w:r w:rsidRPr="00F622BE">
              <w:rPr>
                <w:rFonts w:ascii="Arial" w:hAnsi="Arial" w:cs="Arial"/>
                <w:vertAlign w:val="superscript"/>
              </w:rPr>
              <w:t>th</w:t>
            </w:r>
            <w:r w:rsidRPr="00F622BE">
              <w:rPr>
                <w:rFonts w:ascii="Arial" w:hAnsi="Arial" w:cs="Arial"/>
              </w:rPr>
              <w:t xml:space="preserve"> November - </w:t>
            </w:r>
            <w:hyperlink r:id="rId6" w:history="1">
              <w:r w:rsidRPr="00F622BE">
                <w:rPr>
                  <w:rStyle w:val="Hyperlink"/>
                  <w:rFonts w:ascii="Arial" w:hAnsi="Arial" w:cs="Arial"/>
                  <w:color w:val="auto"/>
                </w:rPr>
                <w:t>https://forms.office.com/r/wKNquREwrX</w:t>
              </w:r>
            </w:hyperlink>
            <w:r w:rsidRPr="00F622BE">
              <w:rPr>
                <w:rFonts w:ascii="Arial" w:hAnsi="Arial" w:cs="Arial"/>
              </w:rPr>
              <w:t xml:space="preserve"> </w:t>
            </w:r>
          </w:p>
        </w:tc>
      </w:tr>
      <w:tr w:rsidR="00292382" w14:paraId="3BF0461D" w14:textId="77777777" w:rsidTr="00292382">
        <w:tc>
          <w:tcPr>
            <w:tcW w:w="4508" w:type="dxa"/>
          </w:tcPr>
          <w:p w14:paraId="68CB24C5" w14:textId="77777777" w:rsidR="00292382" w:rsidRPr="00292382" w:rsidRDefault="00292382" w:rsidP="00292382">
            <w:pPr>
              <w:rPr>
                <w:rFonts w:ascii="Arial" w:hAnsi="Arial" w:cs="Arial"/>
              </w:rPr>
            </w:pPr>
            <w:r w:rsidRPr="00292382">
              <w:rPr>
                <w:rFonts w:ascii="Arial" w:hAnsi="Arial" w:cs="Arial"/>
              </w:rPr>
              <w:t>For the 15 study blocks would we be expected not to be approving annual leave during these periods and how is this agreed?</w:t>
            </w:r>
          </w:p>
          <w:p w14:paraId="56BB4250" w14:textId="77777777" w:rsidR="00292382" w:rsidRPr="00292382" w:rsidRDefault="00292382" w:rsidP="0029238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9BE30E4" w14:textId="77777777" w:rsidR="00292382" w:rsidRPr="00F622BE" w:rsidRDefault="00031FA4" w:rsidP="00292382">
            <w:pPr>
              <w:rPr>
                <w:rFonts w:ascii="Arial" w:hAnsi="Arial" w:cs="Arial"/>
              </w:rPr>
            </w:pPr>
            <w:r w:rsidRPr="00F622BE">
              <w:rPr>
                <w:rFonts w:ascii="Arial" w:hAnsi="Arial" w:cs="Arial"/>
              </w:rPr>
              <w:t>Yes, apprentices need to not be on annual leave when the study blocks take place. They need to attend all study blocks (pending extenuating circumstances).</w:t>
            </w:r>
          </w:p>
          <w:p w14:paraId="13912D13" w14:textId="77777777" w:rsidR="00031FA4" w:rsidRPr="00F622BE" w:rsidRDefault="00031FA4" w:rsidP="00292382">
            <w:pPr>
              <w:rPr>
                <w:rFonts w:ascii="Arial" w:hAnsi="Arial" w:cs="Arial"/>
              </w:rPr>
            </w:pPr>
          </w:p>
          <w:p w14:paraId="63916A37" w14:textId="77777777" w:rsidR="00031FA4" w:rsidRPr="00F622BE" w:rsidRDefault="0040719C" w:rsidP="00292382">
            <w:pPr>
              <w:rPr>
                <w:rFonts w:ascii="Arial" w:hAnsi="Arial" w:cs="Arial"/>
              </w:rPr>
            </w:pPr>
            <w:r w:rsidRPr="00F622BE">
              <w:rPr>
                <w:rFonts w:ascii="Arial" w:hAnsi="Arial" w:cs="Arial"/>
              </w:rPr>
              <w:t>Study blocks will be communicated at the beginning of the programme to ensure learners and employers can plan around these.</w:t>
            </w:r>
          </w:p>
          <w:p w14:paraId="68EBDFA9" w14:textId="29F6809D" w:rsidR="0040719C" w:rsidRPr="00F622BE" w:rsidRDefault="0040719C" w:rsidP="00292382">
            <w:pPr>
              <w:rPr>
                <w:rFonts w:ascii="Arial" w:hAnsi="Arial" w:cs="Arial"/>
              </w:rPr>
            </w:pPr>
          </w:p>
        </w:tc>
      </w:tr>
      <w:tr w:rsidR="00292382" w14:paraId="5790FD4E" w14:textId="77777777" w:rsidTr="00292382">
        <w:tc>
          <w:tcPr>
            <w:tcW w:w="4508" w:type="dxa"/>
          </w:tcPr>
          <w:p w14:paraId="62293DBE" w14:textId="071A5A65" w:rsidR="00292382" w:rsidRPr="00292382" w:rsidRDefault="00292382" w:rsidP="00292382">
            <w:pPr>
              <w:rPr>
                <w:rFonts w:ascii="Arial" w:hAnsi="Arial" w:cs="Arial"/>
              </w:rPr>
            </w:pPr>
            <w:r w:rsidRPr="00292382">
              <w:rPr>
                <w:rFonts w:ascii="Arial" w:hAnsi="Arial" w:cs="Arial"/>
              </w:rPr>
              <w:t xml:space="preserve">How much of the 4 weeks will be face to face teaching? </w:t>
            </w:r>
          </w:p>
          <w:p w14:paraId="7C0C87FA" w14:textId="77777777" w:rsidR="00292382" w:rsidRPr="00292382" w:rsidRDefault="00292382" w:rsidP="00292382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7C97B6F" w14:textId="5DD65428" w:rsidR="00292382" w:rsidRPr="00292382" w:rsidRDefault="00031FA4" w:rsidP="00292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study blocks will be delivered on</w:t>
            </w:r>
            <w:r w:rsidR="00F622BE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ine but in person. So, a study block will not be a week of listening to recordings. There will be a ‘live’ person delivering the learning and teaching online in the study blocks. </w:t>
            </w:r>
          </w:p>
        </w:tc>
      </w:tr>
    </w:tbl>
    <w:p w14:paraId="1884E86F" w14:textId="77777777" w:rsidR="00D93D85" w:rsidRDefault="00D93D85"/>
    <w:sectPr w:rsidR="00D93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82"/>
    <w:rsid w:val="00031FA4"/>
    <w:rsid w:val="0016539A"/>
    <w:rsid w:val="00292382"/>
    <w:rsid w:val="0040719C"/>
    <w:rsid w:val="004176D8"/>
    <w:rsid w:val="00A239B0"/>
    <w:rsid w:val="00BD73E7"/>
    <w:rsid w:val="00D93D85"/>
    <w:rsid w:val="00EB2138"/>
    <w:rsid w:val="00F6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F488A"/>
  <w15:chartTrackingRefBased/>
  <w15:docId w15:val="{0425D9E0-B2CE-4FE6-A090-3A1B9095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9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1F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1F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7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6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6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62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r/wKNquREwrX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c.tattersall@sheffield.ac.uk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j.clegg@sheffield.ac.uk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F34BCA792AC4A91D7A7608E97C72B" ma:contentTypeVersion="17" ma:contentTypeDescription="Create a new document." ma:contentTypeScope="" ma:versionID="95c90e21a66bf3f355a4e3390a83df09">
  <xsd:schema xmlns:xsd="http://www.w3.org/2001/XMLSchema" xmlns:xs="http://www.w3.org/2001/XMLSchema" xmlns:p="http://schemas.microsoft.com/office/2006/metadata/properties" xmlns:ns1="http://schemas.microsoft.com/sharepoint/v3" xmlns:ns2="5a248e4d-7bd6-47d8-8f91-a4de9969458a" xmlns:ns3="73b5c135-bdd0-4200-b9e2-8c09b7278759" targetNamespace="http://schemas.microsoft.com/office/2006/metadata/properties" ma:root="true" ma:fieldsID="e399ff940ca713fe6d286f0addd9f4e8" ns1:_="" ns2:_="" ns3:_="">
    <xsd:import namespace="http://schemas.microsoft.com/sharepoint/v3"/>
    <xsd:import namespace="5a248e4d-7bd6-47d8-8f91-a4de9969458a"/>
    <xsd:import namespace="73b5c135-bdd0-4200-b9e2-8c09b72787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48e4d-7bd6-47d8-8f91-a4de996945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53f2c40-fa99-47db-9d1a-8ff4424ddde0}" ma:internalName="TaxCatchAll" ma:showField="CatchAllData" ma:web="5a248e4d-7bd6-47d8-8f91-a4de99694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5c135-bdd0-4200-b9e2-8c09b7278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3b5c135-bdd0-4200-b9e2-8c09b7278759">
      <Terms xmlns="http://schemas.microsoft.com/office/infopath/2007/PartnerControls"/>
    </lcf76f155ced4ddcb4097134ff3c332f>
    <TaxCatchAll xmlns="5a248e4d-7bd6-47d8-8f91-a4de9969458a" xsi:nil="true"/>
    <SharedWithUsers xmlns="5a248e4d-7bd6-47d8-8f91-a4de9969458a">
      <UserInfo>
        <DisplayName/>
        <AccountId xsi:nil="true"/>
        <AccountType/>
      </UserInfo>
    </SharedWithUsers>
    <MediaLengthInSeconds xmlns="73b5c135-bdd0-4200-b9e2-8c09b7278759" xsi:nil="true"/>
  </documentManagement>
</p:properties>
</file>

<file path=customXml/itemProps1.xml><?xml version="1.0" encoding="utf-8"?>
<ds:datastoreItem xmlns:ds="http://schemas.openxmlformats.org/officeDocument/2006/customXml" ds:itemID="{009FF757-C5B8-4790-85D6-605F7B1FAB5D}"/>
</file>

<file path=customXml/itemProps2.xml><?xml version="1.0" encoding="utf-8"?>
<ds:datastoreItem xmlns:ds="http://schemas.openxmlformats.org/officeDocument/2006/customXml" ds:itemID="{F85B9B66-5389-4547-9B80-23F9EF7898B8}"/>
</file>

<file path=customXml/itemProps3.xml><?xml version="1.0" encoding="utf-8"?>
<ds:datastoreItem xmlns:ds="http://schemas.openxmlformats.org/officeDocument/2006/customXml" ds:itemID="{517A565D-F299-4CB5-A1E2-CF09835B49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Lane</dc:creator>
  <cp:keywords/>
  <dc:description/>
  <cp:lastModifiedBy>Fay Lane</cp:lastModifiedBy>
  <cp:revision>2</cp:revision>
  <dcterms:created xsi:type="dcterms:W3CDTF">2022-10-26T18:17:00Z</dcterms:created>
  <dcterms:modified xsi:type="dcterms:W3CDTF">2022-10-26T18:17:00Z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0x0101005A7F34BCA792AC4A91D7A7608E97C72B</vt:lpwstr>
  </property>
  <property fmtid="{D5CDD505-2E9C-101B-9397-08002B2CF9AE}" pid="3" name="Order">
    <vt:r8>257100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